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BFF56" w14:textId="7F8DA99D" w:rsidR="00FB0CE2" w:rsidRDefault="00C6587C" w:rsidP="00C6587C">
      <w:pPr>
        <w:pStyle w:val="Heading1"/>
      </w:pPr>
      <w:r>
        <w:t>Data Planning Brief – Trustpilot Funnel Analysis</w:t>
      </w:r>
    </w:p>
    <w:p w14:paraId="78B0D6A8" w14:textId="24EF5909" w:rsidR="00C6587C" w:rsidRDefault="00C6587C" w:rsidP="00C6587C">
      <w:pPr>
        <w:pStyle w:val="Heading2"/>
      </w:pPr>
      <w:r>
        <w:t>Project Description</w:t>
      </w:r>
    </w:p>
    <w:p w14:paraId="4BEB76F8" w14:textId="77777777" w:rsidR="00A84DE2" w:rsidRDefault="00A84DE2" w:rsidP="00A84DE2">
      <w:r>
        <w:t>Decision (or purchase) funnel analysis is an important tool for understanding the customer journey from first point of contact to purchase. This project will provide an analysis of the Trustpilot decision funnel and will consist of three elements for the UK and Italy:</w:t>
      </w:r>
    </w:p>
    <w:p w14:paraId="233FF62A" w14:textId="77777777" w:rsidR="00A84DE2" w:rsidRDefault="00A84DE2" w:rsidP="00A84DE2">
      <w:pPr>
        <w:pStyle w:val="ListParagraph"/>
        <w:numPr>
          <w:ilvl w:val="0"/>
          <w:numId w:val="1"/>
        </w:numPr>
      </w:pPr>
      <w:r>
        <w:t>Static Funnel</w:t>
      </w:r>
    </w:p>
    <w:p w14:paraId="67D37C93" w14:textId="77777777" w:rsidR="00A84DE2" w:rsidRDefault="00A84DE2" w:rsidP="00A84DE2">
      <w:pPr>
        <w:pStyle w:val="ListParagraph"/>
        <w:numPr>
          <w:ilvl w:val="0"/>
          <w:numId w:val="1"/>
        </w:numPr>
      </w:pPr>
      <w:r>
        <w:t>Dynamic Funnel</w:t>
      </w:r>
    </w:p>
    <w:p w14:paraId="375F1302" w14:textId="14A94765" w:rsidR="00A84DE2" w:rsidRDefault="00A84DE2" w:rsidP="00A84DE2">
      <w:pPr>
        <w:pStyle w:val="ListParagraph"/>
        <w:numPr>
          <w:ilvl w:val="0"/>
          <w:numId w:val="1"/>
        </w:numPr>
      </w:pPr>
      <w:r>
        <w:t>Causal Impact Analysis</w:t>
      </w:r>
      <w:r w:rsidR="00856C25">
        <w:t xml:space="preserve"> (CIA)</w:t>
      </w:r>
    </w:p>
    <w:p w14:paraId="4D233A25" w14:textId="5568F404" w:rsidR="004C1C7B" w:rsidRDefault="004C1C7B" w:rsidP="00C6587C">
      <w:r>
        <w:t>Upon availability of the relevant data, the Data Planning team will conduct static and dynamic funnel analysis for both UK and Italy. The dynamic funnel analysis will depend on</w:t>
      </w:r>
      <w:r w:rsidR="00E053BC">
        <w:t xml:space="preserve"> a feasibility check to establish whether there is sufficient data to establish relationships between the different metrics.</w:t>
      </w:r>
    </w:p>
    <w:p w14:paraId="7AA69F76" w14:textId="1F8C4368" w:rsidR="00A84DE2" w:rsidRDefault="00A84DE2" w:rsidP="00C6587C">
      <w:r>
        <w:t xml:space="preserve">In addition, </w:t>
      </w:r>
      <w:r w:rsidR="00856C25">
        <w:t>the Data Planning team will conduct a causal impact analysis (CIA) to provide an early indication of the campaign success</w:t>
      </w:r>
      <w:r w:rsidR="00E508CA">
        <w:t>. This will measure campaign impact against a single, jointly agreed KPI that can be tracked on a regular basis.</w:t>
      </w:r>
    </w:p>
    <w:p w14:paraId="5FA5F3AD" w14:textId="7AFDA8B7" w:rsidR="00C6587C" w:rsidRDefault="00C6587C" w:rsidP="00C6587C">
      <w:pPr>
        <w:pStyle w:val="Heading2"/>
      </w:pPr>
      <w:r>
        <w:t>Background and Previous Insights</w:t>
      </w:r>
    </w:p>
    <w:p w14:paraId="703E792D" w14:textId="0EB94B36" w:rsidR="00C6587C" w:rsidRDefault="00C6587C" w:rsidP="00DC02A5">
      <w:pPr>
        <w:pStyle w:val="Heading2"/>
        <w:spacing w:after="0"/>
      </w:pPr>
      <w:r>
        <w:t>Fees</w:t>
      </w:r>
    </w:p>
    <w:tbl>
      <w:tblPr>
        <w:tblW w:w="4908" w:type="pct"/>
        <w:tblCellMar>
          <w:left w:w="0" w:type="dxa"/>
          <w:right w:w="0" w:type="dxa"/>
        </w:tblCellMar>
        <w:tblLook w:val="0020" w:firstRow="1" w:lastRow="0" w:firstColumn="0" w:lastColumn="0" w:noHBand="0" w:noVBand="0"/>
      </w:tblPr>
      <w:tblGrid>
        <w:gridCol w:w="3941"/>
        <w:gridCol w:w="2438"/>
        <w:gridCol w:w="2461"/>
      </w:tblGrid>
      <w:tr w:rsidR="001C5155" w:rsidRPr="001300E2" w14:paraId="78FE11D6" w14:textId="77777777" w:rsidTr="001C5155">
        <w:trPr>
          <w:trHeight w:val="253"/>
        </w:trPr>
        <w:tc>
          <w:tcPr>
            <w:tcW w:w="2229" w:type="pct"/>
            <w:tcBorders>
              <w:top w:val="single" w:sz="8" w:space="0" w:color="FFFFFF"/>
              <w:left w:val="single" w:sz="8" w:space="0" w:color="FFFFFF"/>
              <w:bottom w:val="single" w:sz="24" w:space="0" w:color="FFFFFF"/>
              <w:right w:val="single" w:sz="8" w:space="0" w:color="FFFFFF"/>
            </w:tcBorders>
            <w:shd w:val="clear" w:color="auto" w:fill="8AC37B"/>
            <w:tcMar>
              <w:top w:w="72" w:type="dxa"/>
              <w:left w:w="144" w:type="dxa"/>
              <w:bottom w:w="72" w:type="dxa"/>
              <w:right w:w="144" w:type="dxa"/>
            </w:tcMar>
            <w:vAlign w:val="center"/>
            <w:hideMark/>
          </w:tcPr>
          <w:p w14:paraId="5F4A6BFF" w14:textId="77777777" w:rsidR="001300E2" w:rsidRPr="001300E2" w:rsidRDefault="001300E2" w:rsidP="001300E2">
            <w:pPr>
              <w:spacing w:after="0" w:line="240" w:lineRule="auto"/>
              <w:jc w:val="left"/>
            </w:pPr>
          </w:p>
        </w:tc>
        <w:tc>
          <w:tcPr>
            <w:tcW w:w="1379" w:type="pct"/>
            <w:tcBorders>
              <w:top w:val="single" w:sz="8" w:space="0" w:color="FFFFFF"/>
              <w:left w:val="single" w:sz="8" w:space="0" w:color="FFFFFF"/>
              <w:bottom w:val="single" w:sz="24" w:space="0" w:color="FFFFFF"/>
              <w:right w:val="single" w:sz="8" w:space="0" w:color="FFFFFF"/>
            </w:tcBorders>
            <w:shd w:val="clear" w:color="auto" w:fill="8AC37B"/>
            <w:tcMar>
              <w:top w:w="72" w:type="dxa"/>
              <w:left w:w="144" w:type="dxa"/>
              <w:bottom w:w="72" w:type="dxa"/>
              <w:right w:w="144" w:type="dxa"/>
            </w:tcMar>
            <w:vAlign w:val="center"/>
            <w:hideMark/>
          </w:tcPr>
          <w:p w14:paraId="451DFBB0" w14:textId="77777777" w:rsidR="001300E2" w:rsidRPr="001300E2" w:rsidRDefault="001300E2" w:rsidP="001300E2">
            <w:pPr>
              <w:spacing w:after="0" w:line="240" w:lineRule="auto"/>
              <w:jc w:val="left"/>
            </w:pPr>
            <w:r w:rsidRPr="001300E2">
              <w:rPr>
                <w:b/>
                <w:bCs/>
              </w:rPr>
              <w:t>UK</w:t>
            </w:r>
          </w:p>
        </w:tc>
        <w:tc>
          <w:tcPr>
            <w:tcW w:w="1392" w:type="pct"/>
            <w:tcBorders>
              <w:top w:val="single" w:sz="8" w:space="0" w:color="FFFFFF"/>
              <w:left w:val="single" w:sz="8" w:space="0" w:color="FFFFFF"/>
              <w:bottom w:val="single" w:sz="24" w:space="0" w:color="FFFFFF"/>
              <w:right w:val="single" w:sz="8" w:space="0" w:color="FFFFFF"/>
            </w:tcBorders>
            <w:shd w:val="clear" w:color="auto" w:fill="8AC37B"/>
            <w:tcMar>
              <w:top w:w="72" w:type="dxa"/>
              <w:left w:w="144" w:type="dxa"/>
              <w:bottom w:w="72" w:type="dxa"/>
              <w:right w:w="144" w:type="dxa"/>
            </w:tcMar>
            <w:vAlign w:val="center"/>
            <w:hideMark/>
          </w:tcPr>
          <w:p w14:paraId="2A4D77EA" w14:textId="77777777" w:rsidR="001300E2" w:rsidRPr="001300E2" w:rsidRDefault="001300E2" w:rsidP="001300E2">
            <w:pPr>
              <w:spacing w:after="0" w:line="240" w:lineRule="auto"/>
              <w:jc w:val="left"/>
            </w:pPr>
            <w:r w:rsidRPr="001300E2">
              <w:rPr>
                <w:b/>
                <w:bCs/>
              </w:rPr>
              <w:t>Italy</w:t>
            </w:r>
          </w:p>
        </w:tc>
      </w:tr>
      <w:tr w:rsidR="001300E2" w:rsidRPr="001300E2" w14:paraId="2D314E61" w14:textId="77777777" w:rsidTr="001C5155">
        <w:trPr>
          <w:trHeight w:val="253"/>
        </w:trPr>
        <w:tc>
          <w:tcPr>
            <w:tcW w:w="2229" w:type="pct"/>
            <w:tcBorders>
              <w:top w:val="single" w:sz="24" w:space="0" w:color="FFFFFF"/>
              <w:left w:val="single" w:sz="8" w:space="0" w:color="FFFFFF"/>
              <w:bottom w:val="single" w:sz="8" w:space="0" w:color="FFFFFF"/>
              <w:right w:val="single" w:sz="8" w:space="0" w:color="FFFFFF"/>
            </w:tcBorders>
            <w:shd w:val="clear" w:color="auto" w:fill="A6FF9F"/>
            <w:tcMar>
              <w:top w:w="72" w:type="dxa"/>
              <w:left w:w="144" w:type="dxa"/>
              <w:bottom w:w="72" w:type="dxa"/>
              <w:right w:w="144" w:type="dxa"/>
            </w:tcMar>
            <w:vAlign w:val="center"/>
            <w:hideMark/>
          </w:tcPr>
          <w:p w14:paraId="45FF4A09" w14:textId="77777777" w:rsidR="001300E2" w:rsidRPr="001300E2" w:rsidRDefault="001300E2" w:rsidP="001300E2">
            <w:pPr>
              <w:spacing w:after="0" w:line="240" w:lineRule="auto"/>
              <w:jc w:val="left"/>
            </w:pPr>
            <w:r w:rsidRPr="001300E2">
              <w:t>Part 1</w:t>
            </w:r>
          </w:p>
        </w:tc>
        <w:tc>
          <w:tcPr>
            <w:tcW w:w="1379" w:type="pct"/>
            <w:tcBorders>
              <w:top w:val="single" w:sz="24" w:space="0" w:color="FFFFFF"/>
              <w:left w:val="single" w:sz="8" w:space="0" w:color="FFFFFF"/>
              <w:bottom w:val="single" w:sz="8" w:space="0" w:color="FFFFFF"/>
              <w:right w:val="single" w:sz="8" w:space="0" w:color="FFFFFF"/>
            </w:tcBorders>
            <w:shd w:val="clear" w:color="auto" w:fill="A6FF9F"/>
            <w:tcMar>
              <w:top w:w="72" w:type="dxa"/>
              <w:left w:w="144" w:type="dxa"/>
              <w:bottom w:w="72" w:type="dxa"/>
              <w:right w:w="144" w:type="dxa"/>
            </w:tcMar>
            <w:vAlign w:val="center"/>
            <w:hideMark/>
          </w:tcPr>
          <w:p w14:paraId="6DC80885" w14:textId="77777777" w:rsidR="001300E2" w:rsidRPr="001300E2" w:rsidRDefault="001300E2" w:rsidP="001300E2">
            <w:pPr>
              <w:spacing w:after="0" w:line="240" w:lineRule="auto"/>
              <w:jc w:val="left"/>
            </w:pPr>
            <w:r w:rsidRPr="001300E2">
              <w:t>£4,000 + VAT</w:t>
            </w:r>
          </w:p>
        </w:tc>
        <w:tc>
          <w:tcPr>
            <w:tcW w:w="1392" w:type="pct"/>
            <w:tcBorders>
              <w:top w:val="single" w:sz="24" w:space="0" w:color="FFFFFF"/>
              <w:left w:val="single" w:sz="8" w:space="0" w:color="FFFFFF"/>
              <w:bottom w:val="single" w:sz="8" w:space="0" w:color="FFFFFF"/>
              <w:right w:val="single" w:sz="8" w:space="0" w:color="FFFFFF"/>
            </w:tcBorders>
            <w:shd w:val="clear" w:color="auto" w:fill="A6FF9F"/>
            <w:tcMar>
              <w:top w:w="72" w:type="dxa"/>
              <w:left w:w="144" w:type="dxa"/>
              <w:bottom w:w="72" w:type="dxa"/>
              <w:right w:w="144" w:type="dxa"/>
            </w:tcMar>
            <w:vAlign w:val="center"/>
            <w:hideMark/>
          </w:tcPr>
          <w:p w14:paraId="2DFBBA92" w14:textId="77777777" w:rsidR="001300E2" w:rsidRPr="001300E2" w:rsidRDefault="001300E2" w:rsidP="001300E2">
            <w:pPr>
              <w:spacing w:after="0" w:line="240" w:lineRule="auto"/>
              <w:jc w:val="left"/>
            </w:pPr>
            <w:r w:rsidRPr="001300E2">
              <w:t>£4,000 + VAT</w:t>
            </w:r>
          </w:p>
        </w:tc>
      </w:tr>
      <w:tr w:rsidR="001300E2" w:rsidRPr="001300E2" w14:paraId="04B36CC6" w14:textId="77777777" w:rsidTr="001C5155">
        <w:trPr>
          <w:trHeight w:val="253"/>
        </w:trPr>
        <w:tc>
          <w:tcPr>
            <w:tcW w:w="2229" w:type="pct"/>
            <w:tcBorders>
              <w:top w:val="single" w:sz="8" w:space="0" w:color="FFFFFF"/>
              <w:left w:val="single" w:sz="8" w:space="0" w:color="FFFFFF"/>
              <w:bottom w:val="single" w:sz="8" w:space="0" w:color="FFFFFF"/>
              <w:right w:val="single" w:sz="8" w:space="0" w:color="FFFFFF"/>
            </w:tcBorders>
            <w:shd w:val="clear" w:color="auto" w:fill="EAFFE7"/>
            <w:tcMar>
              <w:top w:w="72" w:type="dxa"/>
              <w:left w:w="144" w:type="dxa"/>
              <w:bottom w:w="72" w:type="dxa"/>
              <w:right w:w="144" w:type="dxa"/>
            </w:tcMar>
            <w:vAlign w:val="center"/>
            <w:hideMark/>
          </w:tcPr>
          <w:p w14:paraId="5798A2D3" w14:textId="77777777" w:rsidR="001300E2" w:rsidRPr="001300E2" w:rsidRDefault="001300E2" w:rsidP="001300E2">
            <w:pPr>
              <w:spacing w:after="0" w:line="240" w:lineRule="auto"/>
              <w:jc w:val="left"/>
            </w:pPr>
            <w:r w:rsidRPr="001300E2">
              <w:t>Part 2</w:t>
            </w:r>
          </w:p>
        </w:tc>
        <w:tc>
          <w:tcPr>
            <w:tcW w:w="1379" w:type="pct"/>
            <w:tcBorders>
              <w:top w:val="single" w:sz="8" w:space="0" w:color="FFFFFF"/>
              <w:left w:val="single" w:sz="8" w:space="0" w:color="FFFFFF"/>
              <w:bottom w:val="single" w:sz="8" w:space="0" w:color="FFFFFF"/>
              <w:right w:val="single" w:sz="8" w:space="0" w:color="FFFFFF"/>
            </w:tcBorders>
            <w:shd w:val="clear" w:color="auto" w:fill="EAFFE7"/>
            <w:tcMar>
              <w:top w:w="72" w:type="dxa"/>
              <w:left w:w="144" w:type="dxa"/>
              <w:bottom w:w="72" w:type="dxa"/>
              <w:right w:w="144" w:type="dxa"/>
            </w:tcMar>
            <w:vAlign w:val="center"/>
            <w:hideMark/>
          </w:tcPr>
          <w:p w14:paraId="15AB4C5A" w14:textId="77777777" w:rsidR="001300E2" w:rsidRPr="001300E2" w:rsidRDefault="001300E2" w:rsidP="001300E2">
            <w:pPr>
              <w:spacing w:after="0" w:line="240" w:lineRule="auto"/>
              <w:jc w:val="left"/>
            </w:pPr>
            <w:r w:rsidRPr="001300E2">
              <w:t>£10,000 + VAT</w:t>
            </w:r>
          </w:p>
        </w:tc>
        <w:tc>
          <w:tcPr>
            <w:tcW w:w="1392" w:type="pct"/>
            <w:tcBorders>
              <w:top w:val="single" w:sz="8" w:space="0" w:color="FFFFFF"/>
              <w:left w:val="single" w:sz="8" w:space="0" w:color="FFFFFF"/>
              <w:bottom w:val="single" w:sz="8" w:space="0" w:color="FFFFFF"/>
              <w:right w:val="single" w:sz="8" w:space="0" w:color="FFFFFF"/>
            </w:tcBorders>
            <w:shd w:val="clear" w:color="auto" w:fill="EAFFE7"/>
            <w:tcMar>
              <w:top w:w="72" w:type="dxa"/>
              <w:left w:w="144" w:type="dxa"/>
              <w:bottom w:w="72" w:type="dxa"/>
              <w:right w:w="144" w:type="dxa"/>
            </w:tcMar>
            <w:vAlign w:val="center"/>
            <w:hideMark/>
          </w:tcPr>
          <w:p w14:paraId="679CC80C" w14:textId="77777777" w:rsidR="001300E2" w:rsidRPr="001300E2" w:rsidRDefault="001300E2" w:rsidP="001300E2">
            <w:pPr>
              <w:spacing w:after="0" w:line="240" w:lineRule="auto"/>
              <w:jc w:val="left"/>
            </w:pPr>
            <w:r w:rsidRPr="001300E2">
              <w:t>£10,000 + VAT</w:t>
            </w:r>
          </w:p>
        </w:tc>
      </w:tr>
      <w:tr w:rsidR="001300E2" w:rsidRPr="001300E2" w14:paraId="5367C9D4" w14:textId="77777777" w:rsidTr="001C5155">
        <w:trPr>
          <w:trHeight w:val="253"/>
        </w:trPr>
        <w:tc>
          <w:tcPr>
            <w:tcW w:w="2229" w:type="pct"/>
            <w:tcBorders>
              <w:top w:val="single" w:sz="8" w:space="0" w:color="FFFFFF"/>
              <w:left w:val="single" w:sz="8" w:space="0" w:color="FFFFFF"/>
              <w:bottom w:val="single" w:sz="8" w:space="0" w:color="FFFFFF"/>
              <w:right w:val="single" w:sz="8" w:space="0" w:color="FFFFFF"/>
            </w:tcBorders>
            <w:shd w:val="clear" w:color="auto" w:fill="A6FF9F"/>
            <w:tcMar>
              <w:top w:w="72" w:type="dxa"/>
              <w:left w:w="144" w:type="dxa"/>
              <w:bottom w:w="72" w:type="dxa"/>
              <w:right w:w="144" w:type="dxa"/>
            </w:tcMar>
            <w:vAlign w:val="center"/>
            <w:hideMark/>
          </w:tcPr>
          <w:p w14:paraId="7260976E" w14:textId="77777777" w:rsidR="001300E2" w:rsidRPr="001300E2" w:rsidRDefault="001300E2" w:rsidP="001300E2">
            <w:pPr>
              <w:spacing w:after="0" w:line="240" w:lineRule="auto"/>
              <w:jc w:val="left"/>
            </w:pPr>
            <w:r w:rsidRPr="001300E2">
              <w:t>Mid-campaign dip (C.I.A.)</w:t>
            </w:r>
          </w:p>
        </w:tc>
        <w:tc>
          <w:tcPr>
            <w:tcW w:w="1379" w:type="pct"/>
            <w:tcBorders>
              <w:top w:val="single" w:sz="8" w:space="0" w:color="FFFFFF"/>
              <w:left w:val="single" w:sz="8" w:space="0" w:color="FFFFFF"/>
              <w:bottom w:val="single" w:sz="8" w:space="0" w:color="FFFFFF"/>
              <w:right w:val="single" w:sz="8" w:space="0" w:color="FFFFFF"/>
            </w:tcBorders>
            <w:shd w:val="clear" w:color="auto" w:fill="A6FF9F"/>
            <w:tcMar>
              <w:top w:w="72" w:type="dxa"/>
              <w:left w:w="144" w:type="dxa"/>
              <w:bottom w:w="72" w:type="dxa"/>
              <w:right w:w="144" w:type="dxa"/>
            </w:tcMar>
            <w:vAlign w:val="center"/>
            <w:hideMark/>
          </w:tcPr>
          <w:p w14:paraId="7E9E5D4E" w14:textId="77777777" w:rsidR="001300E2" w:rsidRPr="001300E2" w:rsidRDefault="001300E2" w:rsidP="001300E2">
            <w:pPr>
              <w:spacing w:after="0" w:line="240" w:lineRule="auto"/>
              <w:jc w:val="left"/>
            </w:pPr>
            <w:r w:rsidRPr="001300E2">
              <w:t>£6,000 + VAT</w:t>
            </w:r>
          </w:p>
        </w:tc>
        <w:tc>
          <w:tcPr>
            <w:tcW w:w="1392" w:type="pct"/>
            <w:tcBorders>
              <w:top w:val="single" w:sz="8" w:space="0" w:color="FFFFFF"/>
              <w:left w:val="single" w:sz="8" w:space="0" w:color="FFFFFF"/>
              <w:bottom w:val="single" w:sz="8" w:space="0" w:color="FFFFFF"/>
              <w:right w:val="single" w:sz="8" w:space="0" w:color="FFFFFF"/>
            </w:tcBorders>
            <w:shd w:val="clear" w:color="auto" w:fill="A6FF9F"/>
            <w:tcMar>
              <w:top w:w="72" w:type="dxa"/>
              <w:left w:w="144" w:type="dxa"/>
              <w:bottom w:w="72" w:type="dxa"/>
              <w:right w:w="144" w:type="dxa"/>
            </w:tcMar>
            <w:vAlign w:val="center"/>
            <w:hideMark/>
          </w:tcPr>
          <w:p w14:paraId="1C6E6D67" w14:textId="77777777" w:rsidR="001300E2" w:rsidRPr="001300E2" w:rsidRDefault="001300E2" w:rsidP="001300E2">
            <w:pPr>
              <w:spacing w:after="0" w:line="240" w:lineRule="auto"/>
              <w:jc w:val="left"/>
            </w:pPr>
            <w:r w:rsidRPr="001300E2">
              <w:t>£6,000 + VAT</w:t>
            </w:r>
          </w:p>
        </w:tc>
      </w:tr>
      <w:tr w:rsidR="001300E2" w:rsidRPr="001300E2" w14:paraId="2C9A524A" w14:textId="77777777" w:rsidTr="001C5155">
        <w:trPr>
          <w:trHeight w:val="253"/>
        </w:trPr>
        <w:tc>
          <w:tcPr>
            <w:tcW w:w="2229" w:type="pct"/>
            <w:tcBorders>
              <w:top w:val="single" w:sz="8" w:space="0" w:color="FFFFFF"/>
              <w:left w:val="single" w:sz="8" w:space="0" w:color="FFFFFF"/>
              <w:bottom w:val="single" w:sz="8" w:space="0" w:color="FFFFFF"/>
              <w:right w:val="single" w:sz="8" w:space="0" w:color="FFFFFF"/>
            </w:tcBorders>
            <w:shd w:val="clear" w:color="auto" w:fill="EAFFE7"/>
            <w:tcMar>
              <w:top w:w="72" w:type="dxa"/>
              <w:left w:w="144" w:type="dxa"/>
              <w:bottom w:w="72" w:type="dxa"/>
              <w:right w:w="144" w:type="dxa"/>
            </w:tcMar>
            <w:vAlign w:val="center"/>
            <w:hideMark/>
          </w:tcPr>
          <w:p w14:paraId="4FB6B9CF" w14:textId="77777777" w:rsidR="001300E2" w:rsidRPr="001300E2" w:rsidRDefault="001300E2" w:rsidP="001300E2">
            <w:pPr>
              <w:spacing w:after="0" w:line="240" w:lineRule="auto"/>
              <w:jc w:val="left"/>
            </w:pPr>
            <w:r w:rsidRPr="001300E2">
              <w:t>Total for each market</w:t>
            </w:r>
          </w:p>
        </w:tc>
        <w:tc>
          <w:tcPr>
            <w:tcW w:w="1379" w:type="pct"/>
            <w:tcBorders>
              <w:top w:val="single" w:sz="8" w:space="0" w:color="FFFFFF"/>
              <w:left w:val="single" w:sz="8" w:space="0" w:color="FFFFFF"/>
              <w:bottom w:val="single" w:sz="8" w:space="0" w:color="FFFFFF"/>
              <w:right w:val="single" w:sz="8" w:space="0" w:color="FFFFFF"/>
            </w:tcBorders>
            <w:shd w:val="clear" w:color="auto" w:fill="EAFFE7"/>
            <w:tcMar>
              <w:top w:w="72" w:type="dxa"/>
              <w:left w:w="144" w:type="dxa"/>
              <w:bottom w:w="72" w:type="dxa"/>
              <w:right w:w="144" w:type="dxa"/>
            </w:tcMar>
            <w:vAlign w:val="center"/>
            <w:hideMark/>
          </w:tcPr>
          <w:p w14:paraId="30031457" w14:textId="77777777" w:rsidR="001300E2" w:rsidRPr="001300E2" w:rsidRDefault="001300E2" w:rsidP="001300E2">
            <w:pPr>
              <w:spacing w:after="0" w:line="240" w:lineRule="auto"/>
              <w:jc w:val="left"/>
            </w:pPr>
            <w:r w:rsidRPr="001300E2">
              <w:t>£20,000 + VAT</w:t>
            </w:r>
          </w:p>
        </w:tc>
        <w:tc>
          <w:tcPr>
            <w:tcW w:w="1392" w:type="pct"/>
            <w:tcBorders>
              <w:top w:val="single" w:sz="8" w:space="0" w:color="FFFFFF"/>
              <w:left w:val="single" w:sz="8" w:space="0" w:color="FFFFFF"/>
              <w:bottom w:val="single" w:sz="8" w:space="0" w:color="FFFFFF"/>
              <w:right w:val="single" w:sz="8" w:space="0" w:color="FFFFFF"/>
            </w:tcBorders>
            <w:shd w:val="clear" w:color="auto" w:fill="EAFFE7"/>
            <w:tcMar>
              <w:top w:w="72" w:type="dxa"/>
              <w:left w:w="144" w:type="dxa"/>
              <w:bottom w:w="72" w:type="dxa"/>
              <w:right w:w="144" w:type="dxa"/>
            </w:tcMar>
            <w:vAlign w:val="center"/>
            <w:hideMark/>
          </w:tcPr>
          <w:p w14:paraId="013014CB" w14:textId="77777777" w:rsidR="001300E2" w:rsidRPr="001300E2" w:rsidRDefault="001300E2" w:rsidP="001300E2">
            <w:pPr>
              <w:spacing w:after="0" w:line="240" w:lineRule="auto"/>
              <w:jc w:val="left"/>
            </w:pPr>
            <w:r w:rsidRPr="001300E2">
              <w:t>£20,000 + VAT</w:t>
            </w:r>
          </w:p>
        </w:tc>
      </w:tr>
      <w:tr w:rsidR="001300E2" w:rsidRPr="001300E2" w14:paraId="49270BFE" w14:textId="77777777" w:rsidTr="001C5155">
        <w:trPr>
          <w:trHeight w:val="62"/>
        </w:trPr>
        <w:tc>
          <w:tcPr>
            <w:tcW w:w="5000" w:type="pct"/>
            <w:gridSpan w:val="3"/>
            <w:tcBorders>
              <w:top w:val="single" w:sz="8" w:space="0" w:color="FFFFFF"/>
              <w:left w:val="single" w:sz="8" w:space="0" w:color="FFFFFF"/>
              <w:bottom w:val="single" w:sz="8" w:space="0" w:color="FFFFFF"/>
              <w:right w:val="single" w:sz="8" w:space="0" w:color="FFFFFF"/>
            </w:tcBorders>
            <w:shd w:val="clear" w:color="auto" w:fill="A6FF9F"/>
            <w:tcMar>
              <w:top w:w="72" w:type="dxa"/>
              <w:left w:w="144" w:type="dxa"/>
              <w:bottom w:w="72" w:type="dxa"/>
              <w:right w:w="144" w:type="dxa"/>
            </w:tcMar>
            <w:vAlign w:val="center"/>
            <w:hideMark/>
          </w:tcPr>
          <w:p w14:paraId="5F0B2213" w14:textId="77777777" w:rsidR="001300E2" w:rsidRPr="001300E2" w:rsidRDefault="001300E2" w:rsidP="001300E2">
            <w:pPr>
              <w:spacing w:after="0" w:line="240" w:lineRule="auto"/>
              <w:jc w:val="left"/>
            </w:pPr>
          </w:p>
        </w:tc>
      </w:tr>
      <w:tr w:rsidR="001300E2" w:rsidRPr="001300E2" w14:paraId="13D09E00" w14:textId="77777777" w:rsidTr="001C5155">
        <w:trPr>
          <w:trHeight w:val="253"/>
        </w:trPr>
        <w:tc>
          <w:tcPr>
            <w:tcW w:w="2229" w:type="pct"/>
            <w:tcBorders>
              <w:top w:val="single" w:sz="8" w:space="0" w:color="FFFFFF"/>
              <w:left w:val="single" w:sz="8" w:space="0" w:color="FFFFFF"/>
              <w:bottom w:val="single" w:sz="8" w:space="0" w:color="FFFFFF"/>
              <w:right w:val="single" w:sz="8" w:space="0" w:color="FFFFFF"/>
            </w:tcBorders>
            <w:shd w:val="clear" w:color="auto" w:fill="EAFFE7"/>
            <w:tcMar>
              <w:top w:w="72" w:type="dxa"/>
              <w:left w:w="144" w:type="dxa"/>
              <w:bottom w:w="72" w:type="dxa"/>
              <w:right w:w="144" w:type="dxa"/>
            </w:tcMar>
            <w:vAlign w:val="center"/>
            <w:hideMark/>
          </w:tcPr>
          <w:p w14:paraId="7A03E7FC" w14:textId="77777777" w:rsidR="001300E2" w:rsidRPr="001300E2" w:rsidRDefault="001300E2" w:rsidP="001300E2">
            <w:pPr>
              <w:spacing w:after="0" w:line="240" w:lineRule="auto"/>
              <w:jc w:val="left"/>
            </w:pPr>
            <w:r w:rsidRPr="001300E2">
              <w:rPr>
                <w:b/>
                <w:bCs/>
              </w:rPr>
              <w:t>2 markets total</w:t>
            </w:r>
          </w:p>
        </w:tc>
        <w:tc>
          <w:tcPr>
            <w:tcW w:w="1379" w:type="pct"/>
            <w:tcBorders>
              <w:top w:val="single" w:sz="8" w:space="0" w:color="FFFFFF"/>
              <w:left w:val="single" w:sz="8" w:space="0" w:color="FFFFFF"/>
              <w:bottom w:val="single" w:sz="8" w:space="0" w:color="FFFFFF"/>
              <w:right w:val="single" w:sz="8" w:space="0" w:color="FFFFFF"/>
            </w:tcBorders>
            <w:shd w:val="clear" w:color="auto" w:fill="EAFFE7"/>
            <w:tcMar>
              <w:top w:w="72" w:type="dxa"/>
              <w:left w:w="144" w:type="dxa"/>
              <w:bottom w:w="72" w:type="dxa"/>
              <w:right w:w="144" w:type="dxa"/>
            </w:tcMar>
            <w:vAlign w:val="center"/>
            <w:hideMark/>
          </w:tcPr>
          <w:p w14:paraId="02E7B127" w14:textId="77777777" w:rsidR="001300E2" w:rsidRPr="001300E2" w:rsidRDefault="001300E2" w:rsidP="001300E2">
            <w:pPr>
              <w:spacing w:after="0" w:line="240" w:lineRule="auto"/>
              <w:jc w:val="left"/>
            </w:pPr>
          </w:p>
        </w:tc>
        <w:tc>
          <w:tcPr>
            <w:tcW w:w="1392" w:type="pct"/>
            <w:tcBorders>
              <w:top w:val="single" w:sz="8" w:space="0" w:color="FFFFFF"/>
              <w:left w:val="single" w:sz="8" w:space="0" w:color="FFFFFF"/>
              <w:bottom w:val="single" w:sz="8" w:space="0" w:color="FFFFFF"/>
              <w:right w:val="single" w:sz="8" w:space="0" w:color="FFFFFF"/>
            </w:tcBorders>
            <w:shd w:val="clear" w:color="auto" w:fill="EAFFE7"/>
            <w:tcMar>
              <w:top w:w="72" w:type="dxa"/>
              <w:left w:w="144" w:type="dxa"/>
              <w:bottom w:w="72" w:type="dxa"/>
              <w:right w:w="144" w:type="dxa"/>
            </w:tcMar>
            <w:vAlign w:val="center"/>
            <w:hideMark/>
          </w:tcPr>
          <w:p w14:paraId="0D83C95D" w14:textId="77777777" w:rsidR="001300E2" w:rsidRPr="001300E2" w:rsidRDefault="001300E2" w:rsidP="001300E2">
            <w:pPr>
              <w:spacing w:after="0" w:line="240" w:lineRule="auto"/>
              <w:jc w:val="left"/>
            </w:pPr>
            <w:r w:rsidRPr="001300E2">
              <w:rPr>
                <w:b/>
                <w:bCs/>
              </w:rPr>
              <w:t>£40,000 + VAT</w:t>
            </w:r>
          </w:p>
        </w:tc>
      </w:tr>
    </w:tbl>
    <w:p w14:paraId="140E29C9" w14:textId="77777777" w:rsidR="001300E2" w:rsidRPr="001300E2" w:rsidRDefault="001300E2" w:rsidP="00DC02A5"/>
    <w:p w14:paraId="7587176D" w14:textId="026DDF9B" w:rsidR="00C6587C" w:rsidRDefault="00C6587C" w:rsidP="00C6587C">
      <w:pPr>
        <w:pStyle w:val="Heading2"/>
      </w:pPr>
      <w:r>
        <w:t>Interested Parties and Roles</w:t>
      </w:r>
    </w:p>
    <w:p w14:paraId="01906CDF" w14:textId="71DE987F" w:rsidR="00C729A4" w:rsidRDefault="001E4EC0" w:rsidP="00C729A4">
      <w:pPr>
        <w:pStyle w:val="ListParagraph"/>
        <w:numPr>
          <w:ilvl w:val="0"/>
          <w:numId w:val="2"/>
        </w:numPr>
      </w:pPr>
      <w:r>
        <w:t>Henry Johnston-Ellis (Data Planning, MG OMD) – Funnel Analysis</w:t>
      </w:r>
    </w:p>
    <w:p w14:paraId="33394A42" w14:textId="2E430A53" w:rsidR="001F6B2A" w:rsidRPr="00C729A4" w:rsidRDefault="001F6B2A" w:rsidP="00606C3A">
      <w:pPr>
        <w:pStyle w:val="ListParagraph"/>
        <w:numPr>
          <w:ilvl w:val="0"/>
          <w:numId w:val="2"/>
        </w:numPr>
      </w:pPr>
      <w:r>
        <w:t>Shanice</w:t>
      </w:r>
      <w:r w:rsidR="00606C3A">
        <w:t xml:space="preserve"> Henderson-Quartey</w:t>
      </w:r>
      <w:r>
        <w:t xml:space="preserve"> (Effectiveness, MG OMD) – Effectiveness Lead</w:t>
      </w:r>
    </w:p>
    <w:p w14:paraId="4C27EE76" w14:textId="372B41BB" w:rsidR="00C6587C" w:rsidRDefault="00C6587C" w:rsidP="00C6587C">
      <w:pPr>
        <w:pStyle w:val="Heading2"/>
      </w:pPr>
      <w:r>
        <w:t>Proposed Funnel Design</w:t>
      </w:r>
    </w:p>
    <w:p w14:paraId="79C791C1" w14:textId="55CA0A33" w:rsidR="00606C3A" w:rsidRPr="00606C3A" w:rsidRDefault="00E03026" w:rsidP="00606C3A">
      <w:r>
        <w:rPr>
          <w:noProof/>
        </w:rPr>
        <w:lastRenderedPageBreak/>
        <w:drawing>
          <wp:inline distT="0" distB="0" distL="0" distR="0" wp14:anchorId="6A7220F8" wp14:editId="63F59A28">
            <wp:extent cx="5731510" cy="27101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r:link="rId11">
                      <a:extLst>
                        <a:ext uri="{28A0092B-C50C-407E-A947-70E740481C1C}">
                          <a14:useLocalDpi xmlns:a14="http://schemas.microsoft.com/office/drawing/2010/main" val="0"/>
                        </a:ext>
                      </a:extLst>
                    </a:blip>
                    <a:srcRect t="16199"/>
                    <a:stretch/>
                  </pic:blipFill>
                  <pic:spPr bwMode="auto">
                    <a:xfrm>
                      <a:off x="0" y="0"/>
                      <a:ext cx="5731510" cy="2710180"/>
                    </a:xfrm>
                    <a:prstGeom prst="rect">
                      <a:avLst/>
                    </a:prstGeom>
                    <a:noFill/>
                    <a:ln>
                      <a:noFill/>
                    </a:ln>
                    <a:extLst>
                      <a:ext uri="{53640926-AAD7-44D8-BBD7-CCE9431645EC}">
                        <a14:shadowObscured xmlns:a14="http://schemas.microsoft.com/office/drawing/2010/main"/>
                      </a:ext>
                    </a:extLst>
                  </pic:spPr>
                </pic:pic>
              </a:graphicData>
            </a:graphic>
          </wp:inline>
        </w:drawing>
      </w:r>
    </w:p>
    <w:p w14:paraId="118578E1" w14:textId="283AA315" w:rsidR="00C6587C" w:rsidRDefault="00C6587C" w:rsidP="00C6587C">
      <w:pPr>
        <w:pStyle w:val="Heading2"/>
      </w:pPr>
      <w:r>
        <w:t>Delivery</w:t>
      </w:r>
    </w:p>
    <w:p w14:paraId="07A56F92" w14:textId="5B6F5BFA" w:rsidR="00FF16DA" w:rsidRDefault="00A36CCF" w:rsidP="00FF16DA">
      <w:pPr>
        <w:rPr>
          <w:b/>
          <w:bCs/>
          <w:u w:val="single"/>
        </w:rPr>
      </w:pPr>
      <w:r>
        <w:rPr>
          <w:b/>
          <w:bCs/>
          <w:u w:val="single"/>
        </w:rPr>
        <w:t>Clarifying timings for delivery</w:t>
      </w:r>
    </w:p>
    <w:p w14:paraId="5B9CB489" w14:textId="77777777" w:rsidR="00A36CCF" w:rsidRPr="00A36CCF" w:rsidRDefault="00A36CCF" w:rsidP="00FF16DA">
      <w:pPr>
        <w:rPr>
          <w:b/>
          <w:bCs/>
          <w:u w:val="single"/>
        </w:rPr>
      </w:pPr>
    </w:p>
    <w:sectPr w:rsidR="00A36CCF" w:rsidRPr="00A36CCF">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310F3D" w14:textId="77777777" w:rsidR="00876083" w:rsidRDefault="00876083" w:rsidP="00C6587C">
      <w:pPr>
        <w:spacing w:after="0" w:line="240" w:lineRule="auto"/>
      </w:pPr>
      <w:r>
        <w:separator/>
      </w:r>
    </w:p>
  </w:endnote>
  <w:endnote w:type="continuationSeparator" w:id="0">
    <w:p w14:paraId="06E0DD87" w14:textId="77777777" w:rsidR="00876083" w:rsidRDefault="00876083" w:rsidP="00C658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B2112E" w14:textId="77777777" w:rsidR="00876083" w:rsidRDefault="00876083" w:rsidP="00C6587C">
      <w:pPr>
        <w:spacing w:after="0" w:line="240" w:lineRule="auto"/>
      </w:pPr>
      <w:r>
        <w:separator/>
      </w:r>
    </w:p>
  </w:footnote>
  <w:footnote w:type="continuationSeparator" w:id="0">
    <w:p w14:paraId="64A17214" w14:textId="77777777" w:rsidR="00876083" w:rsidRDefault="00876083" w:rsidP="00C658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439F5" w14:textId="73E31970" w:rsidR="00C6587C" w:rsidRPr="00C6587C" w:rsidRDefault="00C6587C">
    <w:pPr>
      <w:pStyle w:val="Header"/>
    </w:pPr>
    <w:r>
      <w:t xml:space="preserve">Client: </w:t>
    </w:r>
    <w:r w:rsidRPr="00C6587C">
      <w:rPr>
        <w:b/>
        <w:bCs/>
      </w:rPr>
      <w:t>Trustpilot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D4160"/>
    <w:multiLevelType w:val="hybridMultilevel"/>
    <w:tmpl w:val="8C285F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F8605CD"/>
    <w:multiLevelType w:val="hybridMultilevel"/>
    <w:tmpl w:val="EC1809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87C"/>
    <w:rsid w:val="001300E2"/>
    <w:rsid w:val="001C5155"/>
    <w:rsid w:val="001E4EC0"/>
    <w:rsid w:val="001F6B2A"/>
    <w:rsid w:val="004C1C7B"/>
    <w:rsid w:val="00606C3A"/>
    <w:rsid w:val="00856C25"/>
    <w:rsid w:val="00876083"/>
    <w:rsid w:val="008E61D1"/>
    <w:rsid w:val="00A36CCF"/>
    <w:rsid w:val="00A84DE2"/>
    <w:rsid w:val="00C6587C"/>
    <w:rsid w:val="00C729A4"/>
    <w:rsid w:val="00DC02A5"/>
    <w:rsid w:val="00E03026"/>
    <w:rsid w:val="00E053BC"/>
    <w:rsid w:val="00E508CA"/>
    <w:rsid w:val="00F968BD"/>
    <w:rsid w:val="00FB0CE2"/>
    <w:rsid w:val="00FF16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05E07"/>
  <w15:chartTrackingRefBased/>
  <w15:docId w15:val="{E2039469-0927-4590-AB8A-DE41111CE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87C"/>
    <w:pPr>
      <w:spacing w:after="240" w:line="360" w:lineRule="auto"/>
      <w:jc w:val="both"/>
    </w:pPr>
  </w:style>
  <w:style w:type="paragraph" w:styleId="Heading1">
    <w:name w:val="heading 1"/>
    <w:basedOn w:val="Normal"/>
    <w:next w:val="Normal"/>
    <w:link w:val="Heading1Char"/>
    <w:uiPriority w:val="9"/>
    <w:qFormat/>
    <w:rsid w:val="00C6587C"/>
    <w:pPr>
      <w:jc w:val="center"/>
      <w:outlineLvl w:val="0"/>
    </w:pPr>
    <w:rPr>
      <w:b/>
      <w:bCs/>
      <w:sz w:val="28"/>
      <w:szCs w:val="28"/>
    </w:rPr>
  </w:style>
  <w:style w:type="paragraph" w:styleId="Heading2">
    <w:name w:val="heading 2"/>
    <w:basedOn w:val="Normal"/>
    <w:next w:val="Normal"/>
    <w:link w:val="Heading2Char"/>
    <w:uiPriority w:val="9"/>
    <w:unhideWhenUsed/>
    <w:qFormat/>
    <w:rsid w:val="00C6587C"/>
    <w:pPr>
      <w:outlineLvl w:val="1"/>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587C"/>
    <w:rPr>
      <w:b/>
      <w:bCs/>
      <w:sz w:val="28"/>
      <w:szCs w:val="28"/>
    </w:rPr>
  </w:style>
  <w:style w:type="paragraph" w:styleId="Header">
    <w:name w:val="header"/>
    <w:basedOn w:val="Normal"/>
    <w:link w:val="HeaderChar"/>
    <w:uiPriority w:val="99"/>
    <w:unhideWhenUsed/>
    <w:rsid w:val="00C658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587C"/>
  </w:style>
  <w:style w:type="paragraph" w:styleId="Footer">
    <w:name w:val="footer"/>
    <w:basedOn w:val="Normal"/>
    <w:link w:val="FooterChar"/>
    <w:uiPriority w:val="99"/>
    <w:unhideWhenUsed/>
    <w:rsid w:val="00C658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587C"/>
  </w:style>
  <w:style w:type="character" w:customStyle="1" w:styleId="Heading2Char">
    <w:name w:val="Heading 2 Char"/>
    <w:basedOn w:val="DefaultParagraphFont"/>
    <w:link w:val="Heading2"/>
    <w:uiPriority w:val="9"/>
    <w:rsid w:val="00C6587C"/>
    <w:rPr>
      <w:b/>
      <w:bCs/>
    </w:rPr>
  </w:style>
  <w:style w:type="paragraph" w:styleId="ListParagraph">
    <w:name w:val="List Paragraph"/>
    <w:basedOn w:val="Normal"/>
    <w:uiPriority w:val="34"/>
    <w:qFormat/>
    <w:rsid w:val="00C658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9634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cid:image007.png@01D8654E.F7C866F0" TargetMode="Externa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B7AC0F0FDC4A84AAC39DFFE36CBC947" ma:contentTypeVersion="14" ma:contentTypeDescription="Create a new document." ma:contentTypeScope="" ma:versionID="7b86c0124e4500b26bbfb5c00d2c04f5">
  <xsd:schema xmlns:xsd="http://www.w3.org/2001/XMLSchema" xmlns:xs="http://www.w3.org/2001/XMLSchema" xmlns:p="http://schemas.microsoft.com/office/2006/metadata/properties" xmlns:ns2="e08734c1-1c48-445b-9442-0806596e1c33" xmlns:ns3="facbd53a-28c0-48d4-b28c-fcfb152d4a3f" targetNamespace="http://schemas.microsoft.com/office/2006/metadata/properties" ma:root="true" ma:fieldsID="3fb6563e4b1862f0523470f6ccda5595" ns2:_="" ns3:_="">
    <xsd:import namespace="e08734c1-1c48-445b-9442-0806596e1c33"/>
    <xsd:import namespace="facbd53a-28c0-48d4-b28c-fcfb152d4a3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GenerationTime" minOccurs="0"/>
                <xsd:element ref="ns2:MediaServiceEventHashCode"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8734c1-1c48-445b-9442-0806596e1c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36a257fb-28f5-49c4-92c3-d49665e8e1d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acbd53a-28c0-48d4-b28c-fcfb152d4a3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8d536079-9f26-4428-b424-16e463a0dafd}" ma:internalName="TaxCatchAll" ma:showField="CatchAllData" ma:web="facbd53a-28c0-48d4-b28c-fcfb152d4a3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facbd53a-28c0-48d4-b28c-fcfb152d4a3f" xsi:nil="true"/>
    <lcf76f155ced4ddcb4097134ff3c332f xmlns="e08734c1-1c48-445b-9442-0806596e1c3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0AB20D6-368B-44EF-87D5-CDBA5CD65EE4}">
  <ds:schemaRefs>
    <ds:schemaRef ds:uri="http://schemas.microsoft.com/sharepoint/v3/contenttype/forms"/>
  </ds:schemaRefs>
</ds:datastoreItem>
</file>

<file path=customXml/itemProps2.xml><?xml version="1.0" encoding="utf-8"?>
<ds:datastoreItem xmlns:ds="http://schemas.openxmlformats.org/officeDocument/2006/customXml" ds:itemID="{1F50EC14-053F-4BB0-8884-336FD38EA49D}"/>
</file>

<file path=customXml/itemProps3.xml><?xml version="1.0" encoding="utf-8"?>
<ds:datastoreItem xmlns:ds="http://schemas.openxmlformats.org/officeDocument/2006/customXml" ds:itemID="{67061445-37E7-4A82-8127-DDCC088F291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2</Pages>
  <Words>213</Words>
  <Characters>1219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Johnston-Ellis (Manning Gottlieb OMD)</dc:creator>
  <cp:keywords/>
  <dc:description/>
  <cp:lastModifiedBy>Henry Johnston-Ellis (Manning Gottlieb OMD)</cp:lastModifiedBy>
  <cp:revision>17</cp:revision>
  <dcterms:created xsi:type="dcterms:W3CDTF">2022-05-12T10:56:00Z</dcterms:created>
  <dcterms:modified xsi:type="dcterms:W3CDTF">2022-05-16T12:41:00Z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0x010100DB7AC0F0FDC4A84AAC39DFFE36CBC947</vt:lpwstr>
  </property>
</Properties>
</file>