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Hawkins Cookers Limited</w:t>
      </w:r>
    </w:p>
    <w:p>
      <w:pPr>
        <w:pStyle w:val="Heading1"/>
      </w:pPr>
      <w:r>
        <w:rPr>
          <w:color w:val="B41E1E"/>
        </w:rPr>
        <w:t>IT Security and Data Handling Policy</w:t>
      </w:r>
    </w:p>
    <w:p>
      <w:r>
        <w:t>Effective: 2025-01-01 | Version: v1.0</w:t>
      </w:r>
    </w:p>
    <w:p>
      <w:pPr>
        <w:pStyle w:val="Heading2"/>
      </w:pPr>
      <w:r>
        <w:rPr>
          <w:color w:val="B41E1E"/>
        </w:rPr>
        <w:t>Policy Statement</w:t>
      </w:r>
    </w:p>
    <w:p>
      <w:r>
        <w:t>Data classification, access controls, no data on personal devices, AI tools usage guidelines, local-only processing mandate</w:t>
      </w:r>
    </w:p>
    <w:p>
      <w:pPr>
        <w:pStyle w:val="Heading2"/>
      </w:pPr>
      <w:r>
        <w:rPr>
          <w:color w:val="B41E1E"/>
        </w:rPr>
        <w:t>AI Tools Guidelines</w:t>
      </w:r>
    </w:p>
    <w:p>
      <w:r>
        <w:t>All AI tools used for company projects must run locally on approved hardware. No company data may be sent to external AI APIs (e.g., OpenAI, Anthropic cloud). The approved stack for AI projects is: Ollama + LLaMA 3.1:8b + ChromaDB + BGE-M3. Exceptions require written approval from the IT Head.</w:t>
      </w:r>
    </w:p>
    <w:p>
      <w:pPr>
        <w:pStyle w:val="Heading2"/>
      </w:pPr>
      <w:r>
        <w:rPr>
          <w:color w:val="B41E1E"/>
        </w:rPr>
        <w:t>Data Classification</w:t>
      </w:r>
    </w:p>
    <w:p>
      <w:r>
        <w:t>Level 1 — Public: Product catalogs, price lists, cookbooks.</w:t>
        <w:br/>
        <w:t>Level 2 — Internal: Project reports, department budgets, HR policies.</w:t>
        <w:br/>
        <w:t>Level 3 — Confidential: Vendor contracts, audit findings, financial data.</w:t>
        <w:br/>
        <w:t>Level 4 — Restricted: R&amp;D specifications, patent applications, board minutes.</w:t>
      </w:r>
    </w:p>
    <w:p>
      <w:pPr>
        <w:pStyle w:val="Heading2"/>
      </w:pPr>
      <w:r>
        <w:rPr>
          <w:color w:val="B41E1E"/>
        </w:rPr>
        <w:t>IT Head</w:t>
      </w:r>
    </w:p>
    <w:p>
      <w:r>
        <w:t>Arjun Menon | arjun.menon@hawkins.com | +91-9820001008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