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524250" cy="23622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24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Standardized values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Multioutput lstm model not possible (not able to predict more than one target features, because inverse scaling would be required for each stem in LSTM model, this kind of work in under research and some methodology can be achieved using convolutional LSTM as described </w:t>
      </w:r>
      <w:hyperlink r:id="rId7">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effect is the scale changes for prediction</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Original </w:t>
      </w:r>
      <w:r w:rsidDel="00000000" w:rsidR="00000000" w:rsidRPr="00000000">
        <w:rPr/>
        <w:drawing>
          <wp:inline distB="114300" distT="114300" distL="114300" distR="114300">
            <wp:extent cx="6024563" cy="3784661"/>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24563" cy="378466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Prediction (Notice the scale) </w:t>
      </w:r>
      <w:r w:rsidDel="00000000" w:rsidR="00000000" w:rsidRPr="00000000">
        <w:rPr/>
        <w:drawing>
          <wp:inline distB="114300" distT="114300" distL="114300" distR="114300">
            <wp:extent cx="5943600" cy="37465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For rainfall prediction (Notice the scale on either sides left and right)</w:t>
      </w:r>
      <w:r w:rsidDel="00000000" w:rsidR="00000000" w:rsidRPr="00000000">
        <w:rPr/>
        <w:drawing>
          <wp:inline distB="114300" distT="114300" distL="114300" distR="114300">
            <wp:extent cx="6110288" cy="3750385"/>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10288" cy="3750385"/>
                    </a:xfrm>
                    <a:prstGeom prst="rect"/>
                    <a:ln/>
                  </pic:spPr>
                </pic:pic>
              </a:graphicData>
            </a:graphic>
          </wp:inline>
        </w:drawing>
      </w:r>
      <w:r w:rsidDel="00000000" w:rsidR="00000000" w:rsidRPr="00000000">
        <w:rPr/>
        <w:drawing>
          <wp:inline distB="114300" distT="114300" distL="114300" distR="114300">
            <wp:extent cx="5943600" cy="35687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drawing>
          <wp:inline distB="114300" distT="114300" distL="114300" distR="114300">
            <wp:extent cx="5943600" cy="3644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644900"/>
                    </a:xfrm>
                    <a:prstGeom prst="rect"/>
                    <a:ln/>
                  </pic:spPr>
                </pic:pic>
              </a:graphicData>
            </a:graphic>
          </wp:inline>
        </w:drawing>
      </w:r>
      <w:r w:rsidDel="00000000" w:rsidR="00000000" w:rsidRPr="00000000">
        <w:rPr/>
        <w:drawing>
          <wp:inline distB="114300" distT="114300" distL="114300" distR="114300">
            <wp:extent cx="5943600" cy="36449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644900"/>
                    </a:xfrm>
                    <a:prstGeom prst="rect"/>
                    <a:ln/>
                  </pic:spPr>
                </pic:pic>
              </a:graphicData>
            </a:graphic>
          </wp:inline>
        </w:drawing>
      </w:r>
      <w:r w:rsidDel="00000000" w:rsidR="00000000" w:rsidRPr="00000000">
        <w:rPr/>
        <w:drawing>
          <wp:inline distB="114300" distT="114300" distL="114300" distR="114300">
            <wp:extent cx="5943600" cy="3708400"/>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Notice that the scales changes drastically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 tried to manually correct the scale using standardization of two scales i.e on original dataset and the prediction</w:t>
      </w:r>
    </w:p>
    <w:p w:rsidR="00000000" w:rsidDel="00000000" w:rsidP="00000000" w:rsidRDefault="00000000" w:rsidRPr="00000000" w14:paraId="0000000D">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6aa94f"/>
          <w:sz w:val="21"/>
          <w:szCs w:val="21"/>
          <w:rtl w:val="0"/>
        </w:rPr>
        <w:t xml:space="preserve">#Scaling up of data</w:t>
      </w:r>
    </w:p>
    <w:p w:rsidR="00000000" w:rsidDel="00000000" w:rsidP="00000000" w:rsidRDefault="00000000" w:rsidRPr="00000000" w14:paraId="0000000E">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x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df.columns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F">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ce9178"/>
          <w:sz w:val="21"/>
          <w:szCs w:val="21"/>
          <w:rtl w:val="0"/>
        </w:rPr>
        <w:t xml:space="preserve">'DATE'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0">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11">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smin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2">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smax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3">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cmin = PREDICTION_TRAIN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4">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cmax = PREDICTION_TRAIN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5">
      <w:pPr>
        <w:numPr>
          <w:ilvl w:val="0"/>
          <w:numId w:val="2"/>
        </w:numPr>
        <w:shd w:fill="1e1e1e" w:val="clear"/>
        <w:spacing w:line="325.71428571428567" w:lineRule="auto"/>
        <w:ind w:left="720" w:hanging="360"/>
      </w:pPr>
      <w:r w:rsidDel="00000000" w:rsidR="00000000" w:rsidRPr="00000000">
        <w:rPr>
          <w:rFonts w:ascii="Courier New" w:cs="Courier New" w:eastAsia="Courier New" w:hAnsi="Courier New"/>
          <w:color w:val="d4d4d4"/>
          <w:sz w:val="21"/>
          <w:szCs w:val="21"/>
          <w:rtl w:val="0"/>
        </w:rPr>
        <w:t xml:space="preserve">  PREDICTION_TRAIN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PREDICTION_TRAIN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smin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 - cmin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smax - smin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Now to predict correct ranged values, it is better to switch to one output LSTM model which is a general way to proceed forward.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doing independent training on West bengal dataset: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Rainfall</w:t>
      </w:r>
      <w:r w:rsidDel="00000000" w:rsidR="00000000" w:rsidRPr="00000000">
        <w:rPr/>
        <w:drawing>
          <wp:inline distB="114300" distT="114300" distL="114300" distR="114300">
            <wp:extent cx="5943600" cy="359410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Air Temperature</w:t>
      </w:r>
      <w:r w:rsidDel="00000000" w:rsidR="00000000" w:rsidRPr="00000000">
        <w:rPr/>
        <w:drawing>
          <wp:inline distB="114300" distT="114300" distL="114300" distR="114300">
            <wp:extent cx="5943600" cy="36322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Wind </w:t>
      </w:r>
      <w:r w:rsidDel="00000000" w:rsidR="00000000" w:rsidRPr="00000000">
        <w:rPr/>
        <w:drawing>
          <wp:inline distB="114300" distT="114300" distL="114300" distR="114300">
            <wp:extent cx="5943600" cy="367030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Pressure</w:t>
      </w:r>
      <w:r w:rsidDel="00000000" w:rsidR="00000000" w:rsidRPr="00000000">
        <w:rPr/>
        <w:drawing>
          <wp:inline distB="114300" distT="114300" distL="114300" distR="114300">
            <wp:extent cx="5943600" cy="35941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Humidity</w:t>
      </w:r>
      <w:r w:rsidDel="00000000" w:rsidR="00000000" w:rsidRPr="00000000">
        <w:rPr/>
        <w:drawing>
          <wp:inline distB="114300" distT="114300" distL="114300" distR="114300">
            <wp:extent cx="5943600" cy="3695700"/>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hyperlink" Target="https://www.kaggle.com/code/nicapotato/keras-timeseries-multi-step-multi-output/notebook"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