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4AC6"/>
          <w:sz w:val="44"/>
        </w:rPr>
        <w:t>OneAI Assist — Admin User Guide &amp; Operational Manual</w:t>
      </w:r>
    </w:p>
    <w:p>
      <w:pPr>
        <w:jc w:val="center"/>
      </w:pPr>
      <w:r>
        <w:rPr>
          <w:rFonts w:ascii="Arial" w:hAnsi="Arial"/>
          <w:i/>
          <w:color w:val="49454F"/>
          <w:sz w:val="22"/>
        </w:rPr>
        <w:t>Complete Administrator Documentation, Credentials &amp; Verification Screenshots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C1B1F"/>
                <w:sz w:val="20"/>
              </w:rPr>
              <w:t>Login URL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4AC6"/>
                <w:sz w:val="20"/>
              </w:rPr>
              <w:t>http://localhost:3000/login</w:t>
            </w:r>
          </w:p>
        </w:tc>
      </w:tr>
      <w:tr>
        <w:tc>
          <w:tcPr>
            <w:tcW w:type="dxa" w:w="4680"/>
            <w:shd w:fill="F4F6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C1B1F"/>
                <w:sz w:val="20"/>
              </w:rPr>
              <w:t>Admin Email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4AC6"/>
                <w:sz w:val="20"/>
              </w:rPr>
              <w:t>admin@primemarketingexperts.com</w:t>
            </w:r>
          </w:p>
        </w:tc>
      </w:tr>
      <w:tr>
        <w:tc>
          <w:tcPr>
            <w:tcW w:type="dxa" w:w="4680"/>
            <w:shd w:fill="F4F6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C1B1F"/>
                <w:sz w:val="20"/>
              </w:rPr>
              <w:t>Default Password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04AC6"/>
                <w:sz w:val="20"/>
              </w:rPr>
              <w:t>password123</w:t>
            </w:r>
          </w:p>
        </w:tc>
      </w:tr>
      <w:tr>
        <w:tc>
          <w:tcPr>
            <w:tcW w:type="dxa" w:w="4680"/>
            <w:shd w:fill="F4F6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C1B1F"/>
                <w:sz w:val="20"/>
              </w:rPr>
              <w:t>Assigned Role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ADMIN (Agency Administrator)</w:t>
            </w:r>
          </w:p>
        </w:tc>
      </w:tr>
      <w:tr>
        <w:tc>
          <w:tcPr>
            <w:tcW w:type="dxa" w:w="4680"/>
            <w:shd w:fill="F4F6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C1B1F"/>
                <w:sz w:val="20"/>
              </w:rPr>
              <w:t>Tenant Workspace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Prime Marketing Experts (tenant_pme_ff9xl)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1. System Access &amp; Credentials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To access the OneAI Assist workspace as an agency administrator, navigate to http://localhost:3000/login in any web browser.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Log in using email: admin@primemarketingexperts.com and password: password123. Administrators have full access to workspace settings, AI bot tuning, WhatsApp templates, and lead management.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1: Login Screen with OneAIAssist Logo and Credentials Form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2. Dashboard Overview &amp; Key Performance Metrics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main agency overview page at http://localhost:3000/dashboard provides real-time visibility into active customer conversations, monthly leads, policies sold, and bot resolution metrics.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All KPI cards and activity feed items are dynamically loaded from underlying PostgreSQL database records for Prime Marketing Experts.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2: Agency Dashboard Overview displaying live KPI metrics and branding logo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3. WhatsApp Business Integration &amp; QR Connect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Agency Settings page at http://localhost:3000/dashboard/settings enables administrators to connect their WhatsApp Business phone number using QR code scanning or 8-character pairing codes.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Once connected, the engine handles automated lead intake, RAG policy Q&amp;A, and live agent handoffs seamlessly.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3: Agency Settings — WhatsApp Business Connection with Scannable QR Code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4. AI Bot Studio &amp; Flow Builder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Bot Configuration Studio at http://localhost:3000/dashboard/bot-config features a drag-and-drop intake question flowchart canvas.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Admins can configure validation rules, required fields, and conditional skip logic branching for automated customer qualification.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6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_config_can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4: Bot Configuration Studio — Interactive Intake Question Flow Builder Canvas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5. Knowledge Base &amp; Vector RAG Document Index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Knowledge Base tab under http://localhost:3000/dashboard/bot-config allows administrators to upload insurance policy PDFs (e.g. Apex Health Care plans).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PDF text is extracted, chunked, and embedded into pgvector / Pinecone vectorstore using Google text-embedding-004 to power intelligent customer answers.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71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base_t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5: Knowledge Base Tab displaying indexed U.S. Health Insurance policy documents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6. Insurance Product Catalog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Product Catalog tab lists all managed health insurance products, states covered, monthly premium ranges, and maximum sum insured amounts.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Data is dynamically fetched from database PolicyCatalogItem records to ensure accurate quote generation.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719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catalog_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6: Insurance Product Catalog displaying managed policies and monthly premiums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7. WhatsApp Template Manager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Template Manager at http://localhost:3000/dashboard/templates allows creating and approving marketing, utility, and authentication message templates with variable placeholders.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2979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s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9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7: WhatsApp Template Manager displaying approved message templates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8. Broadcast Campaign Center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Broadcast Center at http://localhost:3000/dashboard/broadcast lets admins launch targeted bulk WhatsApp messaging campaigns based on customer tags and pipeline stages.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76370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adcast_ce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63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8: Broadcast Campaign Center for target bulk messaging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9. Lead Pipeline &amp; CRM Management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Lead Pipeline at http://localhost:3000/dashboard/leads tracks customer opportunities from initial inquiry to policy activation in dual Kanban and table views.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s_add_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9: Lead Pipeline Kanban Board with + Add Lead Dialog</w:t>
      </w:r>
    </w:p>
    <w:p/>
    <w:p>
      <w:pPr>
        <w:pStyle w:val="Heading1"/>
      </w:pPr>
      <w:r>
        <w:rPr>
          <w:rFonts w:ascii="Arial" w:hAnsi="Arial"/>
          <w:b/>
          <w:color w:val="004AC6"/>
          <w:sz w:val="30"/>
        </w:rPr>
        <w:t>10. Customer Directory &amp; 360° Profile View</w:t>
      </w:r>
    </w:p>
    <w:p>
      <w:pPr>
        <w:spacing w:line="276" w:lineRule="auto" w:after="120"/>
      </w:pPr>
      <w:r>
        <w:rPr>
          <w:rFonts w:ascii="Arial" w:hAnsi="Arial"/>
          <w:color w:val="1C1B1F"/>
          <w:sz w:val="21"/>
        </w:rPr>
        <w:t>The Customer Directory at http://localhost:3000/dashboard/customers maintains all customer contact records, opt-in consent statuses, and historical policy engagements.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631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6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49454F"/>
          <w:sz w:val="18"/>
        </w:rPr>
        <w:t>Figure 10: Customer 360° Profile View with policy history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