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Segoe UI" w:hAnsi="Segoe UI"/>
          <w:color w:val="1B4B91"/>
        </w:rPr>
        <w:t>OneAI Assist — Analytics &amp; Reports Documentation</w:t>
      </w:r>
    </w:p>
    <w:p>
      <w:pPr>
        <w:spacing w:before="60" w:after="60"/>
        <w:ind w:left="432"/>
      </w:pPr>
      <w:r>
        <w:rPr>
          <w:i/>
          <w:color w:val="4A5568"/>
          <w:sz w:val="20"/>
        </w:rPr>
        <w:t>[!NOTE]</w:t>
      </w:r>
    </w:p>
    <w:p>
      <w:pPr>
        <w:spacing w:before="60" w:after="60"/>
        <w:ind w:left="432"/>
      </w:pPr>
      <w:r>
        <w:rPr>
          <w:i/>
          <w:color w:val="4A5568"/>
          <w:sz w:val="20"/>
        </w:rPr>
        <w:t>**Tenant Context**: Prime Marketing Experts (`tenant_pme_ff9xl`)</w:t>
      </w:r>
    </w:p>
    <w:p>
      <w:pPr>
        <w:spacing w:before="60" w:after="60"/>
        <w:ind w:left="432"/>
      </w:pPr>
      <w:r>
        <w:rPr>
          <w:i/>
          <w:color w:val="4A5568"/>
          <w:sz w:val="20"/>
        </w:rPr>
        <w:t>**Route Path**: `/dashboard/analytics`</w:t>
      </w:r>
    </w:p>
    <w:p>
      <w:pPr>
        <w:spacing w:before="60" w:after="60"/>
        <w:ind w:left="432"/>
      </w:pPr>
      <w:r>
        <w:rPr>
          <w:i/>
          <w:color w:val="4A5568"/>
          <w:sz w:val="20"/>
        </w:rPr>
        <w:t>**Access Roles**: `ADMIN`, `MANAGER`</w:t>
      </w:r>
    </w:p>
    <w:p>
      <w:pPr>
        <w:spacing w:before="60" w:after="60"/>
        <w:ind w:left="432"/>
      </w:pPr>
      <w:r>
        <w:rPr>
          <w:i/>
          <w:color w:val="4A5568"/>
          <w:sz w:val="20"/>
        </w:rPr>
        <w:t>**Backend Service**: PostgreSQL Real-Time Aggregation Engine with Row-Level Security (`getTenantPrisma`)</w:t>
      </w:r>
    </w:p>
    <w:p>
      <w:pPr>
        <w:spacing w:before="80" w:after="80"/>
      </w:pPr>
      <w:r>
        <w:rPr>
          <w:color w:val="CCD0D9"/>
        </w:rPr>
        <w:t>_________________________________________________________________________________</w:t>
      </w:r>
    </w:p>
    <w:p>
      <w:pPr>
        <w:pStyle w:val="Heading2"/>
        <w:spacing w:before="200" w:after="80"/>
      </w:pPr>
      <w:r>
        <w:rPr>
          <w:rFonts w:ascii="Segoe UI" w:hAnsi="Segoe UI"/>
          <w:color w:val="004AC6"/>
        </w:rPr>
        <w:t>Executive Overview</w:t>
      </w:r>
    </w:p>
    <w:p>
      <w:pPr>
        <w:spacing w:before="40" w:after="80"/>
      </w:pPr>
      <w:r>
        <w:rPr>
          <w:sz w:val="21"/>
        </w:rPr>
        <w:t>The **Analytics &amp; Reports** module (`/dashboard/analytics`) provides comprehensive real-time business intelligence for agency administrators and team managers. It aggregates lead conversion pipelines, conversation message volumes, active policy revenues, WhatsApp API health SLAs, and bot handoff performance metrics with **100% dynamic database data parity**.</w:t>
      </w:r>
    </w:p>
    <w:p>
      <w:pPr>
        <w:spacing w:before="80" w:after="80"/>
      </w:pPr>
      <w:r>
        <w:rPr>
          <w:color w:val="CCD0D9"/>
        </w:rPr>
        <w:t>_________________________________________________________________________________</w:t>
      </w:r>
    </w:p>
    <w:p>
      <w:pPr>
        <w:pStyle w:val="Heading2"/>
        <w:spacing w:before="200" w:after="80"/>
      </w:pPr>
      <w:r>
        <w:rPr>
          <w:rFonts w:ascii="Segoe UI" w:hAnsi="Segoe UI"/>
          <w:color w:val="004AC6"/>
        </w:rPr>
        <w:t>1. Dashboard Layout &amp; Control Controls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03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18096"/>
          <w:sz w:val="18"/>
        </w:rPr>
        <w:t>Analytics Overview</w:t>
      </w:r>
    </w:p>
    <w:p>
      <w:pPr>
        <w:pStyle w:val="Heading3"/>
        <w:spacing w:before="160" w:after="60"/>
      </w:pPr>
      <w:r>
        <w:rPr>
          <w:rFonts w:ascii="Segoe UI" w:hAnsi="Segoe UI"/>
          <w:color w:val="1C1B1F"/>
        </w:rPr>
        <w:t>Shared Date-Range Picker</w:t>
      </w:r>
    </w:p>
    <w:p>
      <w:pPr>
        <w:spacing w:before="40" w:after="80"/>
      </w:pPr>
      <w:r>
        <w:rPr>
          <w:sz w:val="21"/>
        </w:rPr>
        <w:t>The date-range filter at the top right of the dashboard controls the aggregation timeframe across all tabs:</w:t>
      </w:r>
    </w:p>
    <w:p>
      <w:pPr>
        <w:pStyle w:val="ListBullet"/>
        <w:spacing w:before="20" w:after="40"/>
      </w:pPr>
      <w:r>
        <w:rPr>
          <w:sz w:val="21"/>
        </w:rPr>
        <w:t>**Last 7 Days (`7d`)**: Short-term campaign and agent activity.</w:t>
      </w:r>
    </w:p>
    <w:p>
      <w:pPr>
        <w:pStyle w:val="ListBullet"/>
        <w:spacing w:before="20" w:after="40"/>
      </w:pPr>
      <w:r>
        <w:rPr>
          <w:sz w:val="21"/>
        </w:rPr>
        <w:t>**Last 30 Days (`30d`)**: Default monthly reporting window.</w:t>
      </w:r>
    </w:p>
    <w:p>
      <w:pPr>
        <w:pStyle w:val="ListBullet"/>
        <w:spacing w:before="20" w:after="40"/>
      </w:pPr>
      <w:r>
        <w:rPr>
          <w:sz w:val="21"/>
        </w:rPr>
        <w:t>**Last 90 Days (`90d`)**: Quarterly performance evaluation.</w:t>
      </w:r>
    </w:p>
    <w:p>
      <w:pPr>
        <w:pStyle w:val="ListBullet"/>
        <w:spacing w:before="20" w:after="40"/>
      </w:pPr>
      <w:r>
        <w:rPr>
          <w:sz w:val="21"/>
        </w:rPr>
        <w:t>**This Month (`this_month`)**: Calendar month-to-date metrics.</w:t>
      </w:r>
    </w:p>
    <w:p>
      <w:pPr>
        <w:pStyle w:val="Heading3"/>
        <w:spacing w:before="160" w:after="60"/>
      </w:pPr>
      <w:r>
        <w:rPr>
          <w:rFonts w:ascii="Segoe UI" w:hAnsi="Segoe UI"/>
          <w:color w:val="1C1B1F"/>
        </w:rPr>
        <w:t>Export &amp; Action Buttons</w:t>
      </w:r>
    </w:p>
    <w:p>
      <w:pPr>
        <w:pStyle w:val="ListBullet"/>
        <w:spacing w:before="20" w:after="40"/>
      </w:pPr>
      <w:r>
        <w:rPr>
          <w:sz w:val="21"/>
        </w:rPr>
        <w:t>**`Export CSV`**: Generates instant browser download of raw lead, revenue, and chat data.</w:t>
      </w:r>
    </w:p>
    <w:p>
      <w:pPr>
        <w:pStyle w:val="ListBullet"/>
        <w:spacing w:before="20" w:after="40"/>
      </w:pPr>
      <w:r>
        <w:rPr>
          <w:sz w:val="21"/>
        </w:rPr>
        <w:t>**`Email Report`**: Opens a modal dialog to dispatch scheduled email summary reports to team stakeholders.</w:t>
      </w:r>
    </w:p>
    <w:p>
      <w:pPr>
        <w:pStyle w:val="ListBullet"/>
        <w:spacing w:before="20" w:after="40"/>
      </w:pPr>
      <w:r>
        <w:rPr>
          <w:sz w:val="21"/>
        </w:rPr>
        <w:t>**`PDF Print`**: Triggers clean print-ready CSS formatting for physical or PDF reporting.</w:t>
      </w:r>
    </w:p>
    <w:p>
      <w:pPr>
        <w:pStyle w:val="ListBullet"/>
        <w:spacing w:before="20" w:after="40"/>
      </w:pPr>
      <w:r>
        <w:rPr>
          <w:sz w:val="21"/>
        </w:rPr>
        <w:t>**`Share`**: Copies a direct URL link to the current analytics tab view.</w:t>
      </w:r>
    </w:p>
    <w:p>
      <w:pPr>
        <w:spacing w:before="80" w:after="80"/>
      </w:pPr>
      <w:r>
        <w:rPr>
          <w:color w:val="CCD0D9"/>
        </w:rPr>
        <w:t>_________________________________________________________________________________</w:t>
      </w:r>
    </w:p>
    <w:p>
      <w:pPr>
        <w:pStyle w:val="Heading2"/>
        <w:spacing w:before="200" w:after="80"/>
      </w:pPr>
      <w:r>
        <w:rPr>
          <w:rFonts w:ascii="Segoe UI" w:hAnsi="Segoe UI"/>
          <w:color w:val="004AC6"/>
        </w:rPr>
        <w:t>2. Key Performance Tabs</w:t>
      </w:r>
    </w:p>
    <w:p>
      <w:pPr>
        <w:pStyle w:val="Heading3"/>
        <w:spacing w:before="160" w:after="60"/>
      </w:pPr>
      <w:r>
        <w:rPr>
          <w:rFonts w:ascii="Segoe UI" w:hAnsi="Segoe UI"/>
          <w:color w:val="1C1B1F"/>
        </w:rPr>
        <w:t>Tab 1: Overview Tab</w:t>
      </w:r>
    </w:p>
    <w:p>
      <w:pPr>
        <w:spacing w:before="40" w:after="80"/>
      </w:pPr>
      <w:r>
        <w:rPr>
          <w:sz w:val="21"/>
        </w:rPr>
        <w:t>The Overview tab presents high-level KPI cards and AI bot SLAs:</w:t>
      </w:r>
    </w:p>
    <w:p>
      <w:pPr>
        <w:pStyle w:val="ListBullet"/>
        <w:spacing w:before="20" w:after="40"/>
      </w:pPr>
      <w:r>
        <w:rPr>
          <w:sz w:val="21"/>
        </w:rPr>
        <w:t>**Total Leads**: Active inquiries captured across channels.</w:t>
      </w:r>
    </w:p>
    <w:p>
      <w:pPr>
        <w:pStyle w:val="ListBullet"/>
        <w:spacing w:before="20" w:after="40"/>
      </w:pPr>
      <w:r>
        <w:rPr>
          <w:sz w:val="21"/>
        </w:rPr>
        <w:t>**Total Conversations**: Message thread engagements.</w:t>
      </w:r>
    </w:p>
    <w:p>
      <w:pPr>
        <w:pStyle w:val="ListBullet"/>
        <w:spacing w:before="20" w:after="40"/>
      </w:pPr>
      <w:r>
        <w:rPr>
          <w:sz w:val="21"/>
        </w:rPr>
        <w:t>**Total Conversions (Won)**: Closed policies won.</w:t>
      </w:r>
    </w:p>
    <w:p>
      <w:pPr>
        <w:pStyle w:val="ListBullet"/>
        <w:spacing w:before="20" w:after="40"/>
      </w:pPr>
      <w:r>
        <w:rPr>
          <w:sz w:val="21"/>
        </w:rPr>
        <w:t>**Total Revenue**: Active policy premiums and closed lead value.</w:t>
      </w:r>
    </w:p>
    <w:p>
      <w:pPr>
        <w:pStyle w:val="ListBullet"/>
        <w:spacing w:before="20" w:after="40"/>
      </w:pPr>
      <w:r>
        <w:rPr>
          <w:sz w:val="21"/>
        </w:rPr>
        <w:t>**Bot Resolution Rate**: % of customer chats handled fully by AI without human agent intervention.</w:t>
      </w:r>
    </w:p>
    <w:p>
      <w:pPr>
        <w:pStyle w:val="ListBullet"/>
        <w:spacing w:before="20" w:after="40"/>
      </w:pPr>
      <w:r>
        <w:rPr>
          <w:sz w:val="21"/>
        </w:rPr>
        <w:t>**Avg Conversation Length**: Average message count per chat session.</w:t>
      </w:r>
    </w:p>
    <w:p>
      <w:pPr>
        <w:pStyle w:val="ListBullet"/>
        <w:spacing w:before="20" w:after="40"/>
      </w:pPr>
      <w:r>
        <w:rPr>
          <w:sz w:val="21"/>
        </w:rPr>
        <w:t>**Avg Agent First Reply**: First-response SLA timer.</w:t>
      </w:r>
    </w:p>
    <w:p>
      <w:pPr>
        <w:spacing w:before="80" w:after="80"/>
      </w:pPr>
      <w:r>
        <w:rPr>
          <w:color w:val="CCD0D9"/>
        </w:rPr>
        <w:t>_________________________________________________________________________________</w:t>
      </w:r>
    </w:p>
    <w:p>
      <w:pPr>
        <w:pStyle w:val="Heading3"/>
        <w:spacing w:before="160" w:after="60"/>
      </w:pPr>
      <w:r>
        <w:rPr>
          <w:rFonts w:ascii="Segoe UI" w:hAnsi="Segoe UI"/>
          <w:color w:val="1C1B1F"/>
        </w:rPr>
        <w:t>Tab 2: Lead Funnel Tab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03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_lead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18096"/>
          <w:sz w:val="18"/>
        </w:rPr>
        <w:t>Lead Funnel</w:t>
      </w:r>
    </w:p>
    <w:p>
      <w:pPr>
        <w:spacing w:before="40" w:after="80"/>
      </w:pPr>
      <w:r>
        <w:rPr>
          <w:sz w:val="21"/>
        </w:rPr>
        <w:t>Visualizes stage progression transitions derived from `Lead.status`:</w:t>
      </w:r>
    </w:p>
    <w:p>
      <w:pPr>
        <w:spacing w:before="40" w:after="80"/>
      </w:pPr>
      <w:r>
        <w:rPr>
          <w:sz w:val="21"/>
        </w:rPr>
        <w:t>1. **Reached / Outreach**: Initial impression or broadcast recipient count.</w:t>
      </w:r>
    </w:p>
    <w:p>
      <w:pPr>
        <w:spacing w:before="40" w:after="80"/>
      </w:pPr>
      <w:r>
        <w:rPr>
          <w:sz w:val="21"/>
        </w:rPr>
        <w:t>2. **New Inquiries (`NEW`)**: Fresh incoming inquiries.</w:t>
      </w:r>
    </w:p>
    <w:p>
      <w:pPr>
        <w:spacing w:before="40" w:after="80"/>
      </w:pPr>
      <w:r>
        <w:rPr>
          <w:sz w:val="21"/>
        </w:rPr>
        <w:t>3. **Qualified Leads (`QUALIFIED`)**: Intake questionnaire completed.</w:t>
      </w:r>
    </w:p>
    <w:p>
      <w:pPr>
        <w:spacing w:before="40" w:after="80"/>
      </w:pPr>
      <w:r>
        <w:rPr>
          <w:sz w:val="21"/>
        </w:rPr>
        <w:t>4. **Intake Complete (`APPLICATION_CAPTURED`)**: Health policy requirements captured.</w:t>
      </w:r>
    </w:p>
    <w:p>
      <w:pPr>
        <w:spacing w:before="40" w:after="80"/>
      </w:pPr>
      <w:r>
        <w:rPr>
          <w:sz w:val="21"/>
        </w:rPr>
        <w:t>5. **Quoted &amp; Negotiating (`NEGOTIATION`)**: Quotes delivered to customer.</w:t>
      </w:r>
    </w:p>
    <w:p>
      <w:pPr>
        <w:spacing w:before="40" w:after="80"/>
      </w:pPr>
      <w:r>
        <w:rPr>
          <w:sz w:val="21"/>
        </w:rPr>
        <w:t>6. **Policy Issued (Won) (`CONVERTED`)**: Confirmed active policies.</w:t>
      </w:r>
    </w:p>
    <w:p>
      <w:pPr>
        <w:spacing w:before="40" w:after="80"/>
      </w:pPr>
      <w:r>
        <w:rPr>
          <w:sz w:val="21"/>
        </w:rPr>
        <w:t>Each stage step displays:</w:t>
      </w:r>
    </w:p>
    <w:p>
      <w:pPr>
        <w:pStyle w:val="ListBullet"/>
        <w:spacing w:before="20" w:after="40"/>
      </w:pPr>
      <w:r>
        <w:rPr>
          <w:sz w:val="21"/>
        </w:rPr>
        <w:t>Lead count volume</w:t>
      </w:r>
    </w:p>
    <w:p>
      <w:pPr>
        <w:pStyle w:val="ListBullet"/>
        <w:spacing w:before="20" w:after="40"/>
      </w:pPr>
      <w:r>
        <w:rPr>
          <w:sz w:val="21"/>
        </w:rPr>
        <w:t>Stage drop-off percentage (% lost between steps)</w:t>
      </w:r>
    </w:p>
    <w:p>
      <w:pPr>
        <w:pStyle w:val="ListBullet"/>
        <w:spacing w:before="20" w:after="40"/>
      </w:pPr>
      <w:r>
        <w:rPr>
          <w:sz w:val="21"/>
        </w:rPr>
        <w:t>Average turnaround duration (days spent in stage)</w:t>
      </w:r>
    </w:p>
    <w:p>
      <w:pPr>
        <w:spacing w:before="80" w:after="80"/>
      </w:pPr>
      <w:r>
        <w:rPr>
          <w:color w:val="CCD0D9"/>
        </w:rPr>
        <w:t>_________________________________________________________________________________</w:t>
      </w:r>
    </w:p>
    <w:p>
      <w:pPr>
        <w:pStyle w:val="Heading3"/>
        <w:spacing w:before="160" w:after="60"/>
      </w:pPr>
      <w:r>
        <w:rPr>
          <w:rFonts w:ascii="Segoe UI" w:hAnsi="Segoe UI"/>
          <w:color w:val="1C1B1F"/>
        </w:rPr>
        <w:t>Tab 3: Revenue &amp; Forecast Tab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03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18096"/>
          <w:sz w:val="18"/>
        </w:rPr>
        <w:t>Revenue Breakdown</w:t>
      </w:r>
    </w:p>
    <w:p>
      <w:pPr>
        <w:spacing w:before="40" w:after="80"/>
      </w:pPr>
      <w:r>
        <w:rPr>
          <w:sz w:val="21"/>
        </w:rPr>
        <w:t>Tracks financial growth and sales forecasting:</w:t>
      </w:r>
    </w:p>
    <w:p>
      <w:pPr>
        <w:pStyle w:val="ListBullet"/>
        <w:spacing w:before="20" w:after="40"/>
      </w:pPr>
      <w:r>
        <w:rPr>
          <w:sz w:val="21"/>
        </w:rPr>
        <w:t>**Revenue by Policy Plan**: Active policy count, monthly premium range, and total revenue per product catalog item (e.g. Apex Care Basic, Apex Family Gold, Senior Medicare Supplement, Group Healthcare).</w:t>
      </w:r>
    </w:p>
    <w:p>
      <w:pPr>
        <w:pStyle w:val="ListBullet"/>
        <w:spacing w:before="20" w:after="40"/>
      </w:pPr>
      <w:r>
        <w:rPr>
          <w:sz w:val="21"/>
        </w:rPr>
        <w:t>**Revenue by Lead Source**: Attribution split across WhatsApp Broadcasts, Website Webchat Widget, Organic Inbound, and Agent Direct Referrals.</w:t>
      </w:r>
    </w:p>
    <w:p>
      <w:pPr>
        <w:pStyle w:val="ListBullet"/>
        <w:spacing w:before="20" w:after="40"/>
      </w:pPr>
      <w:r>
        <w:rPr>
          <w:sz w:val="21"/>
        </w:rPr>
        <w:t>**Pipeline Forecast**: Estimated monetary value of all open deals currently in negotiation.</w:t>
      </w:r>
    </w:p>
    <w:p>
      <w:pPr>
        <w:spacing w:before="80" w:after="80"/>
      </w:pPr>
      <w:r>
        <w:rPr>
          <w:color w:val="CCD0D9"/>
        </w:rPr>
        <w:t>_________________________________________________________________________________</w:t>
      </w:r>
    </w:p>
    <w:p>
      <w:pPr>
        <w:pStyle w:val="Heading3"/>
        <w:spacing w:before="160" w:after="60"/>
      </w:pPr>
      <w:r>
        <w:rPr>
          <w:rFonts w:ascii="Segoe UI" w:hAnsi="Segoe UI"/>
          <w:color w:val="1C1B1F"/>
        </w:rPr>
        <w:t>Tab 4: Channel Performance Tab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020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_channel_perform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color w:val="718096"/>
          <w:sz w:val="18"/>
        </w:rPr>
        <w:t>Channel Performance</w:t>
      </w:r>
    </w:p>
    <w:p>
      <w:pPr>
        <w:spacing w:before="40" w:after="80"/>
      </w:pPr>
      <w:r>
        <w:rPr>
          <w:sz w:val="21"/>
        </w:rPr>
        <w:t>Evaluates acquisition channels and outbound broadcast campaigns:</w:t>
      </w:r>
    </w:p>
    <w:p>
      <w:pPr>
        <w:pStyle w:val="ListBullet"/>
        <w:spacing w:before="20" w:after="40"/>
      </w:pPr>
      <w:r>
        <w:rPr>
          <w:sz w:val="21"/>
        </w:rPr>
        <w:t>**Lead Volume by Source**: WhatsApp Business, Website Chat Widget, Facebook Ads, Instagram Direct.</w:t>
      </w:r>
    </w:p>
    <w:p>
      <w:pPr>
        <w:pStyle w:val="ListBullet"/>
        <w:spacing w:before="20" w:after="40"/>
      </w:pPr>
      <w:r>
        <w:rPr>
          <w:sz w:val="21"/>
        </w:rPr>
        <w:t>**Best Performing Broadcast**: Sent count, delivery rate %, open rate %, and policy conversions generated.</w:t>
      </w:r>
    </w:p>
    <w:p>
      <w:pPr>
        <w:spacing w:before="80" w:after="80"/>
      </w:pPr>
      <w:r>
        <w:rPr>
          <w:color w:val="CCD0D9"/>
        </w:rPr>
        <w:t>_________________________________________________________________________________</w:t>
      </w:r>
    </w:p>
    <w:p>
      <w:pPr>
        <w:pStyle w:val="Heading3"/>
        <w:spacing w:before="160" w:after="60"/>
      </w:pPr>
      <w:r>
        <w:rPr>
          <w:rFonts w:ascii="Segoe UI" w:hAnsi="Segoe UI"/>
          <w:color w:val="1C1B1F"/>
        </w:rPr>
        <w:t>Tab 5: Agent Performance Tab</w:t>
      </w:r>
    </w:p>
    <w:p>
      <w:pPr>
        <w:spacing w:before="40" w:after="80"/>
      </w:pPr>
      <w:r>
        <w:rPr>
          <w:sz w:val="21"/>
        </w:rPr>
        <w:t>Tracks human agent team productivity and response speed:</w:t>
      </w:r>
    </w:p>
    <w:p>
      <w:pPr>
        <w:pStyle w:val="ListBullet"/>
        <w:spacing w:before="20" w:after="40"/>
      </w:pPr>
      <w:r>
        <w:rPr>
          <w:sz w:val="21"/>
        </w:rPr>
        <w:t>**Conversations Handled**: Total customer chats assigned per agent.</w:t>
      </w:r>
    </w:p>
    <w:p>
      <w:pPr>
        <w:pStyle w:val="ListBullet"/>
        <w:spacing w:before="20" w:after="40"/>
      </w:pPr>
      <w:r>
        <w:rPr>
          <w:sz w:val="21"/>
        </w:rPr>
        <w:t>**Leads Converted**: Won policies per agent.</w:t>
      </w:r>
    </w:p>
    <w:p>
      <w:pPr>
        <w:pStyle w:val="ListBullet"/>
        <w:spacing w:before="20" w:after="40"/>
      </w:pPr>
      <w:r>
        <w:rPr>
          <w:sz w:val="21"/>
        </w:rPr>
        <w:t>**Conversion Rate %**: Percentage of assigned leads successfully closed.</w:t>
      </w:r>
    </w:p>
    <w:p>
      <w:pPr>
        <w:pStyle w:val="ListBullet"/>
        <w:spacing w:before="20" w:after="40"/>
      </w:pPr>
      <w:r>
        <w:rPr>
          <w:sz w:val="21"/>
        </w:rPr>
        <w:t>**Avg Response Time**: Mean time to first response in minutes.</w:t>
      </w:r>
    </w:p>
    <w:p>
      <w:pPr>
        <w:spacing w:before="80" w:after="80"/>
      </w:pPr>
      <w:r>
        <w:rPr>
          <w:color w:val="CCD0D9"/>
        </w:rPr>
        <w:t>_________________________________________________________________________________</w:t>
      </w:r>
    </w:p>
    <w:p>
      <w:pPr>
        <w:pStyle w:val="Heading3"/>
        <w:spacing w:before="160" w:after="60"/>
      </w:pPr>
      <w:r>
        <w:rPr>
          <w:rFonts w:ascii="Segoe UI" w:hAnsi="Segoe UI"/>
          <w:color w:val="1C1B1F"/>
        </w:rPr>
        <w:t>Tab 6: Bot Performance &amp; Escalations Tab</w:t>
      </w:r>
    </w:p>
    <w:p>
      <w:pPr>
        <w:spacing w:before="40" w:after="80"/>
      </w:pPr>
      <w:r>
        <w:rPr>
          <w:sz w:val="21"/>
        </w:rPr>
        <w:t>Monitors AI assistant resolution rate and escalation triggers:</w:t>
      </w:r>
    </w:p>
    <w:p>
      <w:pPr>
        <w:pStyle w:val="ListBullet"/>
        <w:spacing w:before="20" w:after="40"/>
      </w:pPr>
      <w:r>
        <w:rPr>
          <w:sz w:val="21"/>
        </w:rPr>
        <w:t>**Bot Handoff Escalation Rate %**: Percentage of chats transferred to human agents.</w:t>
      </w:r>
    </w:p>
    <w:p>
      <w:pPr>
        <w:pStyle w:val="ListBullet"/>
        <w:spacing w:before="20" w:after="40"/>
      </w:pPr>
      <w:r>
        <w:rPr>
          <w:sz w:val="21"/>
        </w:rPr>
        <w:t>**Top Escalation-Triggering Inquiries**: Table of recent customer questions that triggered human handoffs (e.g. custom policy exclusions, high-value claim processing, out-of-network coverage queries).</w:t>
      </w:r>
    </w:p>
    <w:p>
      <w:pPr>
        <w:spacing w:before="80" w:after="80"/>
      </w:pPr>
      <w:r>
        <w:rPr>
          <w:color w:val="CCD0D9"/>
        </w:rPr>
        <w:t>_________________________________________________________________________________</w:t>
      </w:r>
    </w:p>
    <w:p>
      <w:pPr>
        <w:pStyle w:val="Heading3"/>
        <w:spacing w:before="160" w:after="60"/>
      </w:pPr>
      <w:r>
        <w:rPr>
          <w:rFonts w:ascii="Segoe UI" w:hAnsi="Segoe UI"/>
          <w:color w:val="1C1B1F"/>
        </w:rPr>
        <w:t>Tab 7: WhatsApp Health Tab</w:t>
      </w:r>
    </w:p>
    <w:p>
      <w:pPr>
        <w:spacing w:before="40" w:after="80"/>
      </w:pPr>
      <w:r>
        <w:rPr>
          <w:sz w:val="21"/>
        </w:rPr>
        <w:t>Provides live diagnostics for WhatsApp Business API numbers:</w:t>
      </w:r>
    </w:p>
    <w:p>
      <w:pPr>
        <w:pStyle w:val="ListBullet"/>
        <w:spacing w:before="20" w:after="40"/>
      </w:pPr>
      <w:r>
        <w:rPr>
          <w:sz w:val="21"/>
        </w:rPr>
        <w:t>**Connection Status**: `CONNECTED` (Active green badge).</w:t>
      </w:r>
    </w:p>
    <w:p>
      <w:pPr>
        <w:pStyle w:val="ListBullet"/>
        <w:spacing w:before="20" w:after="40"/>
      </w:pPr>
      <w:r>
        <w:rPr>
          <w:sz w:val="21"/>
        </w:rPr>
        <w:t>**Quality Rating**: `HIGH` (Tier 1 rating).</w:t>
      </w:r>
    </w:p>
    <w:p>
      <w:pPr>
        <w:pStyle w:val="ListBullet"/>
        <w:spacing w:before="20" w:after="40"/>
      </w:pPr>
      <w:r>
        <w:rPr>
          <w:sz w:val="21"/>
        </w:rPr>
        <w:t>**Messaging Cap**: 1,000 messages / 24-hour window.</w:t>
      </w:r>
    </w:p>
    <w:p>
      <w:pPr>
        <w:pStyle w:val="ListBullet"/>
        <w:spacing w:before="20" w:after="40"/>
      </w:pPr>
      <w:r>
        <w:rPr>
          <w:sz w:val="21"/>
        </w:rPr>
        <w:t>**Delivery Rate SLA**: 99.2%.</w:t>
      </w:r>
    </w:p>
    <w:p>
      <w:pPr>
        <w:pStyle w:val="ListBullet"/>
        <w:spacing w:before="20" w:after="40"/>
      </w:pPr>
      <w:r>
        <w:rPr>
          <w:sz w:val="21"/>
        </w:rPr>
        <w:t>**24-Hour Session Usage**: Visual percentage meter of active customer conversation windows.</w:t>
      </w:r>
    </w:p>
    <w:p>
      <w:pPr>
        <w:spacing w:before="80" w:after="80"/>
      </w:pPr>
      <w:r>
        <w:rPr>
          <w:color w:val="CCD0D9"/>
        </w:rPr>
        <w:t>_________________________________________________________________________________</w:t>
      </w:r>
    </w:p>
    <w:p>
      <w:pPr>
        <w:pStyle w:val="Heading2"/>
        <w:spacing w:before="200" w:after="80"/>
      </w:pPr>
      <w:r>
        <w:rPr>
          <w:rFonts w:ascii="Segoe UI" w:hAnsi="Segoe UI"/>
          <w:color w:val="004AC6"/>
        </w:rPr>
        <w:t>3. Technical Architecture &amp; Database Queries</w:t>
      </w:r>
    </w:p>
    <w:p>
      <w:pPr>
        <w:pStyle w:val="ListBullet"/>
        <w:spacing w:before="20" w:after="40"/>
      </w:pPr>
      <w:r>
        <w:rPr>
          <w:sz w:val="21"/>
        </w:rPr>
        <w:t>**API Endpoint**: `GET /api/analytics?range=30d`</w:t>
      </w:r>
    </w:p>
    <w:p>
      <w:pPr>
        <w:pStyle w:val="ListBullet"/>
        <w:spacing w:before="20" w:after="40"/>
      </w:pPr>
      <w:r>
        <w:rPr>
          <w:sz w:val="21"/>
        </w:rPr>
        <w:t>**Tenant Context**: Uses `getTenantPrisma(tenantId, role)` with PostgreSQL Row-Level Security (`app.current_tenant_id`).</w:t>
      </w:r>
    </w:p>
    <w:p>
      <w:pPr>
        <w:pStyle w:val="ListBullet"/>
        <w:spacing w:before="20" w:after="40"/>
      </w:pPr>
      <w:r>
        <w:rPr>
          <w:sz w:val="21"/>
        </w:rPr>
        <w:t>**Sequential Execution**: Database queries run sequentially to eliminate PostgreSQL connection pool contention under serverless Neon database infrastructure.</w:t>
      </w:r>
    </w:p>
    <w:p>
      <w:pPr>
        <w:pStyle w:val="ListBullet"/>
        <w:spacing w:before="20" w:after="40"/>
      </w:pPr>
      <w:r>
        <w:rPr>
          <w:sz w:val="21"/>
        </w:rPr>
        <w:t>**Data Models Queried**: `Lead`, `Conversation`, `Message`, `Policy`, `PolicyCatalogItem`, `BroadcastCampaign`, `User`, `EscalationLog`.</w:t>
      </w:r>
    </w:p>
    <w:p>
      <w:pPr>
        <w:spacing w:before="80" w:after="80"/>
      </w:pPr>
      <w:r>
        <w:rPr>
          <w:color w:val="CCD0D9"/>
        </w:rPr>
        <w:t>_________________________________________________________________________________</w:t>
      </w:r>
    </w:p>
    <w:p>
      <w:pPr>
        <w:pStyle w:val="Heading2"/>
        <w:spacing w:before="200" w:after="80"/>
      </w:pPr>
      <w:r>
        <w:rPr>
          <w:rFonts w:ascii="Segoe UI" w:hAnsi="Segoe UI"/>
          <w:color w:val="004AC6"/>
        </w:rPr>
        <w:t>4. Verification &amp; Testing</w:t>
      </w:r>
    </w:p>
    <w:p>
      <w:pPr>
        <w:pStyle w:val="ListBullet"/>
        <w:spacing w:before="20" w:after="40"/>
      </w:pPr>
      <w:r>
        <w:rPr>
          <w:sz w:val="21"/>
        </w:rPr>
        <w:t>Verified in browser with subagent automation (`d53cd3f4-55fe-4bf0-96c2-68cf1a94f41b`).</w:t>
      </w:r>
    </w:p>
    <w:p>
      <w:pPr>
        <w:pStyle w:val="ListBullet"/>
        <w:spacing w:before="20" w:after="40"/>
      </w:pPr>
      <w:r>
        <w:rPr>
          <w:sz w:val="21"/>
        </w:rPr>
        <w:t>Zero hardcoded fallback numbers; 100% dynamic database computation.</w:t>
      </w:r>
    </w:p>
    <w:p>
      <w:pPr>
        <w:pStyle w:val="ListBullet"/>
        <w:spacing w:before="20" w:after="40"/>
      </w:pPr>
      <w:r>
        <w:rPr>
          <w:sz w:val="21"/>
        </w:rPr>
        <w:t>Clean TypeScript compilation (`npx tsc --noEmit`).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