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vertAlign w:val="baseline"/>
          <w:rtl w:val="0"/>
        </w:rPr>
        <w:t xml:space="preserve">Delivery Manager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You will manage one or more agile projects, typically to deliver a specific product or transformation via a multi-disciplinary, highly skilled digital team. You’ll be adept at delivering complex digital projects, breaking down barriers for your team, and both planning at a higher level and getting into the detail to make things happen when needed.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Defining project needs and feeding these into the programme/portfolio process will enable resource to be appropriately allocated. You will be core to decisions that build high performing teams, where people are excited about the work they are undertaking.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The main responsibilities of the post are: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●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14"/>
          <w:vertAlign w:val="baseline"/>
          <w:rtl w:val="0"/>
        </w:rPr>
        <w:t xml:space="preserve">  </w:t>
        <w:tab/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Deliver projects and products using the appropriate agile project management methodology, learning &amp; iterating frequently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●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  </w:t>
        <w:tab/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Work with the Product Manager to define the roadmap for any given product and translate this into user stories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●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  </w:t>
        <w:tab/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Lead the collaborative, dynamic planning process - prioritising the work that needs to be done against the capacity and capability of the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●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  </w:t>
        <w:tab/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Matrix-managing a multidisciplinary team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●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  </w:t>
        <w:tab/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Ensure all products are built to an appropriate level of quality for the stage (alpha/beta/production)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●</w:t>
      </w:r>
      <w:r w:rsidRPr="00000000" w:rsidR="00000000" w:rsidDel="00000000">
        <w:rPr>
          <w:rFonts w:cs="Times New Roman" w:hAnsi="Times New Roman" w:eastAsia="Times New Roman" w:ascii="Times New Roman"/>
          <w:color w:val="000000"/>
          <w:sz w:val="24"/>
          <w:vertAlign w:val="baseline"/>
          <w:rtl w:val="0"/>
        </w:rPr>
        <w:t xml:space="preserve">  </w:t>
        <w:tab/>
      </w: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Actively participating in the Delivery Manager community, sharing and re-applying skills and knowledge and bringing in best practice.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spacing w:lineRule="auto" w:after="0" w:before="20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spacing w:lineRule="auto" w:after="40" w:before="0"/>
        <w:ind w:firstLine="0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bookmarkStart w:id="2" w:colFirst="0" w:name="h.1fob9te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spacing w:lineRule="auto" w:after="40" w:before="200"/>
        <w:ind w:firstLine="0"/>
        <w:contextualSpacing w:val="0"/>
      </w:pPr>
      <w:bookmarkStart w:id="3" w:colFirst="0" w:name="h.3znysh7" w:colLast="0"/>
      <w:bookmarkEnd w:id="3"/>
      <w:r w:rsidRPr="00000000" w:rsidR="00000000" w:rsidDel="00000000">
        <w:rPr>
          <w:rFonts w:cs="Arial" w:hAnsi="Arial" w:eastAsia="Arial" w:ascii="Arial"/>
          <w:b w:val="1"/>
          <w:i w:val="0"/>
          <w:color w:val="000000"/>
          <w:sz w:val="28"/>
          <w:vertAlign w:val="baseline"/>
          <w:rtl w:val="0"/>
        </w:rPr>
        <w:t xml:space="preserve">PERSON SPECIFICATION - COMPETENCES/SKILLS REQUIRED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4"/>
          <w:vertAlign w:val="baseline"/>
          <w:rtl w:val="0"/>
        </w:rPr>
        <w:t xml:space="preserve">Setting Direction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Changing and Improving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Provide constructive challenge to senior management on change proposals which will affect own business area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Spot warning signs of things going wrong and provide a decisive response to significant delivery challenges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Encourage a culture of innovation focused on adding value – give people space to think creatively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Making Effective Decisions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Analyse and evaluate pros and cons and identify risks in order to make decisions that take account of the wider context, including diversity and sustainability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Identify the main issues in complex problems, clarify understanding or stakeholder expectations, to seek best option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Make difficult decisions by pragmatically weighing the complexities involved against the need to act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Push decision making to the right level within their teams, not allow unnecessary bureaucracy and structure to suppress innovation and delivery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4"/>
          <w:vertAlign w:val="baseline"/>
          <w:rtl w:val="0"/>
        </w:rPr>
        <w:t xml:space="preserve">DELIVERING RESULTS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Managing a Quality Service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Make clear, pragmatic and manageable plans for service delivery using programme and project management disciplines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Exemplify positive customer service behaviours and promote a culture focused on ensuring customer needs are met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Establish how the business area compares to customer service expectations and industry best practice and identify necessary improvements in plans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Delivering at Pace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Get the best out of people by giving enthusiastic and encouraging messages about priorities, objectives and expectations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Adopt clear processes for managing at all levels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Review, challenge and adjust performance levels to ensure quality outcomes are delivered on time rewarding success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Maintain effective performance in difficult and challenging circumstances, encouraging others to do the same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   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i w:val="1"/>
          <w:color w:val="000000"/>
          <w:sz w:val="24"/>
          <w:vertAlign w:val="baseline"/>
          <w:rtl w:val="0"/>
        </w:rPr>
        <w:t xml:space="preserve">ENGAGING PEOPLE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Leading and Communicating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Be visible to staff and stakeholders and regularly undertake activities to engage and build trust with people involved in area of work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Confidently engage with stakeholders and colleagues at all levels to generate commitment to goals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Clarify strategies and plans, giving clear sense of direction and purpose for self and team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Collaborating and Partnering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Actively build and maintain a network of colleagues and contacts to achieve progress on objectives and shared interests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Encourage contributions and involvement from a broad and diverse range of staff by being visible and accessible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Effectively manage team dynamics when working across Departmental and other boundaries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Seek constructive outcomes in discussions, challenge assumptions but remain willing to compromise when it is beneficial to progress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u w:val="single"/>
          <w:vertAlign w:val="baseline"/>
          <w:rtl w:val="0"/>
        </w:rPr>
        <w:t xml:space="preserve">Specialist Skills and requirements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vertAlign w:val="baseline"/>
          <w:rtl w:val="0"/>
        </w:rPr>
        <w:t xml:space="preserve">Essential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276" w:before="0"/>
        <w:ind w:left="720" w:hanging="358"/>
        <w:contextualSpacing w:val="1"/>
        <w:rPr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experience in delivering digital projects and products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●      proven experience using agile project management methods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●      proven experience balancing multiple priorities and dealing with ambiguity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●      sound understanding of the digital landscape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720" w:hanging="358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4"/>
          <w:vertAlign w:val="baseline"/>
          <w:rtl w:val="0"/>
        </w:rPr>
        <w:t xml:space="preserve">●      experience in matrix-managing multi-disciplinary teams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Fonts w:cs="Arial" w:hAnsi="Arial" w:eastAsia="Arial" w:ascii="Arial"/>
          <w:color w:val="000000"/>
          <w:sz w:val="22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cs="Arial" w:hAnsi="Arial" w:eastAsia="Arial" w:ascii="Arial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cs="Arial" w:hAnsi="Arial" w:eastAsia="Arial" w:ascii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cs="Arial" w:hAnsi="Arial" w:eastAsia="Arial" w:ascii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cs="Arial" w:hAnsi="Arial" w:eastAsia="Arial" w:ascii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cs="Arial" w:hAnsi="Arial" w:eastAsia="Arial" w:ascii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cs="Arial" w:hAnsi="Arial" w:eastAsia="Arial" w:ascii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cs="Arial" w:hAnsi="Arial" w:eastAsia="Arial" w:ascii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cs="Arial" w:hAnsi="Arial" w:eastAsia="Arial" w:ascii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cs="Arial" w:hAnsi="Arial" w:eastAsia="Arial" w:ascii="Arial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DeliveryManager-generic.docx</dc:title>
</cp:coreProperties>
</file>