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1B" w:rsidRPr="00845A50" w:rsidRDefault="00736881" w:rsidP="00736881">
      <w:pPr>
        <w:jc w:val="center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b/>
          <w:sz w:val="36"/>
          <w:szCs w:val="36"/>
        </w:rPr>
        <w:t>Reference</w:t>
      </w:r>
      <w:r w:rsidR="00DD0F79">
        <w:rPr>
          <w:rFonts w:ascii="Cambria" w:hAnsi="Cambria" w:cs="Courier New"/>
          <w:b/>
          <w:sz w:val="36"/>
          <w:szCs w:val="36"/>
        </w:rPr>
        <w:t xml:space="preserve"> Sheet</w:t>
      </w:r>
    </w:p>
    <w:p w:rsidR="00C5021B" w:rsidRDefault="00C5021B" w:rsidP="00C5021B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List of functions </w:t>
      </w:r>
      <w:r w:rsidR="00D0278E">
        <w:rPr>
          <w:rFonts w:ascii="Cambria" w:hAnsi="Cambria"/>
          <w:b/>
          <w:sz w:val="28"/>
          <w:szCs w:val="28"/>
        </w:rPr>
        <w:t xml:space="preserve">and coding concepts </w:t>
      </w:r>
      <w:r>
        <w:rPr>
          <w:rFonts w:ascii="Cambria" w:hAnsi="Cambria"/>
          <w:b/>
          <w:sz w:val="28"/>
          <w:szCs w:val="28"/>
        </w:rPr>
        <w:t>introduced in each lesson</w:t>
      </w:r>
    </w:p>
    <w:p w:rsidR="00D0278E" w:rsidRDefault="00D0278E" w:rsidP="00D0278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4"/>
          <w:szCs w:val="24"/>
        </w:rPr>
        <w:t>Each coding concept mentioned below is described in a section with the same name in the Coding Overview. Drawing, Geometry and System func</w:t>
      </w:r>
      <w:r w:rsidR="00DD0F79">
        <w:rPr>
          <w:rFonts w:ascii="Cambria" w:hAnsi="Cambria"/>
          <w:sz w:val="24"/>
          <w:szCs w:val="24"/>
        </w:rPr>
        <w:t xml:space="preserve">tions are described under the </w:t>
      </w:r>
      <w:r>
        <w:rPr>
          <w:rFonts w:ascii="Cambria" w:hAnsi="Cambria"/>
          <w:sz w:val="24"/>
          <w:szCs w:val="24"/>
        </w:rPr>
        <w:t>corresponding section</w:t>
      </w:r>
      <w:r w:rsidR="00DC15F9">
        <w:rPr>
          <w:rFonts w:ascii="Cambria" w:hAnsi="Cambria"/>
          <w:sz w:val="24"/>
          <w:szCs w:val="24"/>
        </w:rPr>
        <w:t xml:space="preserve"> in the Function Reference List, which is also part of the coding overview.</w:t>
      </w:r>
      <w:bookmarkStart w:id="0" w:name="_GoBack"/>
      <w:bookmarkEnd w:id="0"/>
    </w:p>
    <w:p w:rsidR="005762BC" w:rsidRDefault="005762BC" w:rsidP="00D0278E">
      <w:pPr>
        <w:rPr>
          <w:rFonts w:ascii="Cambria" w:hAnsi="Cambria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047517" w:rsidTr="00047517">
        <w:tc>
          <w:tcPr>
            <w:tcW w:w="2014" w:type="dxa"/>
          </w:tcPr>
          <w:p w:rsidR="00047517" w:rsidRPr="00B26915" w:rsidRDefault="00047517" w:rsidP="0004751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26915">
              <w:rPr>
                <w:rFonts w:ascii="Cambria" w:hAnsi="Cambria"/>
                <w:b/>
                <w:sz w:val="24"/>
                <w:szCs w:val="24"/>
              </w:rPr>
              <w:t>Lesson</w:t>
            </w:r>
          </w:p>
        </w:tc>
        <w:tc>
          <w:tcPr>
            <w:tcW w:w="2014" w:type="dxa"/>
          </w:tcPr>
          <w:p w:rsidR="00047517" w:rsidRPr="00B26915" w:rsidRDefault="00047517" w:rsidP="00D0278E">
            <w:pPr>
              <w:rPr>
                <w:rFonts w:ascii="Cambria" w:hAnsi="Cambria"/>
                <w:b/>
                <w:sz w:val="24"/>
                <w:szCs w:val="24"/>
              </w:rPr>
            </w:pPr>
            <w:r w:rsidRPr="00B26915">
              <w:rPr>
                <w:rFonts w:ascii="Cambria" w:hAnsi="Cambria"/>
                <w:b/>
                <w:sz w:val="24"/>
                <w:szCs w:val="24"/>
              </w:rPr>
              <w:t>Drawing Functions</w:t>
            </w:r>
          </w:p>
        </w:tc>
        <w:tc>
          <w:tcPr>
            <w:tcW w:w="2014" w:type="dxa"/>
          </w:tcPr>
          <w:p w:rsidR="00047517" w:rsidRPr="00B26915" w:rsidRDefault="00047517" w:rsidP="00D0278E">
            <w:pPr>
              <w:rPr>
                <w:rFonts w:ascii="Cambria" w:hAnsi="Cambria"/>
                <w:b/>
                <w:sz w:val="24"/>
                <w:szCs w:val="24"/>
              </w:rPr>
            </w:pPr>
            <w:r w:rsidRPr="00B26915">
              <w:rPr>
                <w:rFonts w:ascii="Cambria" w:hAnsi="Cambria"/>
                <w:b/>
                <w:sz w:val="24"/>
                <w:szCs w:val="24"/>
              </w:rPr>
              <w:t>Geometry Functions</w:t>
            </w:r>
          </w:p>
        </w:tc>
        <w:tc>
          <w:tcPr>
            <w:tcW w:w="2014" w:type="dxa"/>
          </w:tcPr>
          <w:p w:rsidR="00047517" w:rsidRPr="00B26915" w:rsidRDefault="00047517" w:rsidP="00D0278E">
            <w:pPr>
              <w:rPr>
                <w:rFonts w:ascii="Cambria" w:hAnsi="Cambria"/>
                <w:b/>
                <w:sz w:val="24"/>
                <w:szCs w:val="24"/>
              </w:rPr>
            </w:pPr>
            <w:r w:rsidRPr="00B26915">
              <w:rPr>
                <w:rFonts w:ascii="Cambria" w:hAnsi="Cambria"/>
                <w:b/>
                <w:sz w:val="24"/>
                <w:szCs w:val="24"/>
              </w:rPr>
              <w:t>System Functions</w:t>
            </w:r>
          </w:p>
        </w:tc>
        <w:tc>
          <w:tcPr>
            <w:tcW w:w="2014" w:type="dxa"/>
          </w:tcPr>
          <w:p w:rsidR="00047517" w:rsidRPr="00B26915" w:rsidRDefault="00047517" w:rsidP="00D0278E">
            <w:pPr>
              <w:rPr>
                <w:rFonts w:ascii="Cambria" w:hAnsi="Cambria"/>
                <w:b/>
                <w:sz w:val="24"/>
                <w:szCs w:val="24"/>
              </w:rPr>
            </w:pPr>
            <w:r w:rsidRPr="00B26915">
              <w:rPr>
                <w:rFonts w:ascii="Cambria" w:hAnsi="Cambria"/>
                <w:b/>
                <w:sz w:val="24"/>
                <w:szCs w:val="24"/>
              </w:rPr>
              <w:t>Coding Concepts</w:t>
            </w:r>
          </w:p>
        </w:tc>
      </w:tr>
      <w:tr w:rsidR="00047517" w:rsidTr="00B26915">
        <w:tc>
          <w:tcPr>
            <w:tcW w:w="2014" w:type="dxa"/>
            <w:vAlign w:val="center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Lesson 1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drawPoints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drawLabels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drawSegment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drawLine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message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myPicture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&amp;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main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take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drawPicture</w:t>
            </w:r>
            <w:proofErr w:type="spellEnd"/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Boilerplate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Lists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Strings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Auxiliary definitions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Tuples</w:t>
            </w:r>
          </w:p>
        </w:tc>
      </w:tr>
      <w:tr w:rsidR="00047517" w:rsidTr="00B26915">
        <w:tc>
          <w:tcPr>
            <w:tcW w:w="2014" w:type="dxa"/>
            <w:vAlign w:val="center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Lesson 2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drawCircle</w:t>
            </w:r>
            <w:proofErr w:type="spellEnd"/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find_apart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circle_circle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line_circle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line_line</w:t>
            </w:r>
            <w:proofErr w:type="spellEnd"/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drop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Understanding runtime errors (incomplete definitions)</w:t>
            </w:r>
          </w:p>
        </w:tc>
      </w:tr>
      <w:tr w:rsidR="00047517" w:rsidTr="00047517"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Lesson 3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coordinates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messages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dist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midpoint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show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++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47517" w:rsidTr="00B26915">
        <w:tc>
          <w:tcPr>
            <w:tcW w:w="2014" w:type="dxa"/>
            <w:vAlign w:val="center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Lesson 4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drawArc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drawPointLabel</w:t>
            </w:r>
            <w:proofErr w:type="spellEnd"/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drawTriangle</w:t>
            </w:r>
            <w:proofErr w:type="spellEnd"/>
          </w:p>
        </w:tc>
        <w:tc>
          <w:tcPr>
            <w:tcW w:w="2014" w:type="dxa"/>
          </w:tcPr>
          <w:p w:rsidR="00047517" w:rsidRDefault="004C0296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beyond</w:t>
            </w:r>
          </w:p>
        </w:tc>
        <w:tc>
          <w:tcPr>
            <w:tcW w:w="2014" w:type="dxa"/>
          </w:tcPr>
          <w:p w:rsidR="004C0296" w:rsidRDefault="004C0296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find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</w:t>
            </w:r>
          </w:p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shownum</w:t>
            </w:r>
            <w:proofErr w:type="spellEnd"/>
          </w:p>
          <w:p w:rsidR="00047517" w:rsidRDefault="00E768CF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Multiple-case definitions</w:t>
            </w:r>
          </w:p>
        </w:tc>
      </w:tr>
      <w:tr w:rsidR="00047517" w:rsidTr="00B26915">
        <w:tc>
          <w:tcPr>
            <w:tcW w:w="2014" w:type="dxa"/>
            <w:vAlign w:val="center"/>
          </w:tcPr>
          <w:p w:rsidR="00047517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Lesson 5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14" w:type="dxa"/>
          </w:tcPr>
          <w:p w:rsidR="00047517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parallel</w:t>
            </w:r>
          </w:p>
          <w:p w:rsidR="00B26915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perpendicular</w:t>
            </w:r>
          </w:p>
          <w:p w:rsidR="00B26915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projection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47517" w:rsidTr="00047517">
        <w:tc>
          <w:tcPr>
            <w:tcW w:w="2014" w:type="dxa"/>
          </w:tcPr>
          <w:p w:rsidR="00047517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Lesson 6</w:t>
            </w:r>
          </w:p>
        </w:tc>
        <w:tc>
          <w:tcPr>
            <w:tcW w:w="2014" w:type="dxa"/>
          </w:tcPr>
          <w:p w:rsidR="00047517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coordinates’</w:t>
            </w:r>
          </w:p>
        </w:tc>
        <w:tc>
          <w:tcPr>
            <w:tcW w:w="2014" w:type="dxa"/>
          </w:tcPr>
          <w:p w:rsidR="00047517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quadrilateral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47517" w:rsidTr="00047517">
        <w:tc>
          <w:tcPr>
            <w:tcW w:w="2014" w:type="dxa"/>
          </w:tcPr>
          <w:p w:rsidR="00047517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Lesson 7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14" w:type="dxa"/>
          </w:tcPr>
          <w:p w:rsidR="00047517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mirror</w:t>
            </w: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14" w:type="dxa"/>
          </w:tcPr>
          <w:p w:rsidR="00047517" w:rsidRDefault="00047517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26915" w:rsidTr="00047517">
        <w:tc>
          <w:tcPr>
            <w:tcW w:w="2014" w:type="dxa"/>
          </w:tcPr>
          <w:p w:rsidR="00B26915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Lesson 8</w:t>
            </w:r>
          </w:p>
        </w:tc>
        <w:tc>
          <w:tcPr>
            <w:tcW w:w="2014" w:type="dxa"/>
          </w:tcPr>
          <w:p w:rsidR="00B26915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14" w:type="dxa"/>
          </w:tcPr>
          <w:p w:rsidR="00B26915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dilate</w:t>
            </w:r>
          </w:p>
          <w:p w:rsidR="00B26915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rotate</w:t>
            </w:r>
          </w:p>
          <w:p w:rsidR="00B26915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translate</w:t>
            </w:r>
          </w:p>
        </w:tc>
        <w:tc>
          <w:tcPr>
            <w:tcW w:w="2014" w:type="dxa"/>
          </w:tcPr>
          <w:p w:rsidR="00B26915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14" w:type="dxa"/>
          </w:tcPr>
          <w:p w:rsidR="00B26915" w:rsidRDefault="00B26915" w:rsidP="00D0278E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047517" w:rsidRPr="00D0278E" w:rsidRDefault="00047517" w:rsidP="00D0278E">
      <w:pPr>
        <w:rPr>
          <w:rFonts w:ascii="Cambria" w:hAnsi="Cambria"/>
          <w:sz w:val="24"/>
          <w:szCs w:val="24"/>
        </w:rPr>
      </w:pPr>
    </w:p>
    <w:sectPr w:rsidR="00047517" w:rsidRPr="00D0278E" w:rsidSect="00314EDB">
      <w:footerReference w:type="default" r:id="rId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E6A" w:rsidRDefault="00D95E6A" w:rsidP="00AA31DD">
      <w:pPr>
        <w:spacing w:after="0" w:line="240" w:lineRule="auto"/>
      </w:pPr>
      <w:r>
        <w:separator/>
      </w:r>
    </w:p>
  </w:endnote>
  <w:endnote w:type="continuationSeparator" w:id="0">
    <w:p w:rsidR="00D95E6A" w:rsidRDefault="00D95E6A" w:rsidP="00AA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1DD" w:rsidRDefault="00AA3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E6A" w:rsidRDefault="00D95E6A" w:rsidP="00AA31DD">
      <w:pPr>
        <w:spacing w:after="0" w:line="240" w:lineRule="auto"/>
      </w:pPr>
      <w:r>
        <w:separator/>
      </w:r>
    </w:p>
  </w:footnote>
  <w:footnote w:type="continuationSeparator" w:id="0">
    <w:p w:rsidR="00D95E6A" w:rsidRDefault="00D95E6A" w:rsidP="00AA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2385"/>
    <w:multiLevelType w:val="hybridMultilevel"/>
    <w:tmpl w:val="0E1CB496"/>
    <w:lvl w:ilvl="0" w:tplc="9CA4D8E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5404E"/>
    <w:multiLevelType w:val="hybridMultilevel"/>
    <w:tmpl w:val="7A78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E5A7A"/>
    <w:multiLevelType w:val="hybridMultilevel"/>
    <w:tmpl w:val="77A2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E5C1B"/>
    <w:multiLevelType w:val="hybridMultilevel"/>
    <w:tmpl w:val="A8F8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E4"/>
    <w:rsid w:val="00021CBA"/>
    <w:rsid w:val="00036311"/>
    <w:rsid w:val="00047517"/>
    <w:rsid w:val="00065D4F"/>
    <w:rsid w:val="000E74BF"/>
    <w:rsid w:val="001109D5"/>
    <w:rsid w:val="00136F08"/>
    <w:rsid w:val="0016114F"/>
    <w:rsid w:val="001764EA"/>
    <w:rsid w:val="00176899"/>
    <w:rsid w:val="001B4057"/>
    <w:rsid w:val="00222425"/>
    <w:rsid w:val="00261E22"/>
    <w:rsid w:val="002656C3"/>
    <w:rsid w:val="002729A3"/>
    <w:rsid w:val="002A5384"/>
    <w:rsid w:val="002B726E"/>
    <w:rsid w:val="002B7E3F"/>
    <w:rsid w:val="002E10D4"/>
    <w:rsid w:val="00314EDB"/>
    <w:rsid w:val="003572B3"/>
    <w:rsid w:val="00377B51"/>
    <w:rsid w:val="003A3035"/>
    <w:rsid w:val="003C2B79"/>
    <w:rsid w:val="003F3B70"/>
    <w:rsid w:val="004355AD"/>
    <w:rsid w:val="00474ECC"/>
    <w:rsid w:val="004B73E7"/>
    <w:rsid w:val="004C0296"/>
    <w:rsid w:val="004E0AB8"/>
    <w:rsid w:val="005028F5"/>
    <w:rsid w:val="00504EFA"/>
    <w:rsid w:val="0052546B"/>
    <w:rsid w:val="005673E8"/>
    <w:rsid w:val="005762BC"/>
    <w:rsid w:val="005830F0"/>
    <w:rsid w:val="00584591"/>
    <w:rsid w:val="005901F7"/>
    <w:rsid w:val="005D714E"/>
    <w:rsid w:val="005E3F6A"/>
    <w:rsid w:val="00611D3C"/>
    <w:rsid w:val="006317E7"/>
    <w:rsid w:val="00653C2B"/>
    <w:rsid w:val="006F227A"/>
    <w:rsid w:val="0071194C"/>
    <w:rsid w:val="00722D34"/>
    <w:rsid w:val="00736881"/>
    <w:rsid w:val="0075338D"/>
    <w:rsid w:val="0076655A"/>
    <w:rsid w:val="00771EE4"/>
    <w:rsid w:val="00785143"/>
    <w:rsid w:val="00795E41"/>
    <w:rsid w:val="007D7B87"/>
    <w:rsid w:val="00845A50"/>
    <w:rsid w:val="00873BAB"/>
    <w:rsid w:val="008749B4"/>
    <w:rsid w:val="008937EB"/>
    <w:rsid w:val="008938F4"/>
    <w:rsid w:val="008B3F78"/>
    <w:rsid w:val="008C5CCA"/>
    <w:rsid w:val="008D6AF0"/>
    <w:rsid w:val="00915E8D"/>
    <w:rsid w:val="009571C8"/>
    <w:rsid w:val="00970FE5"/>
    <w:rsid w:val="009B0B2C"/>
    <w:rsid w:val="009D03EF"/>
    <w:rsid w:val="009D1E7E"/>
    <w:rsid w:val="009D67DA"/>
    <w:rsid w:val="009F6CAF"/>
    <w:rsid w:val="00A22F51"/>
    <w:rsid w:val="00A52CD6"/>
    <w:rsid w:val="00AA31DD"/>
    <w:rsid w:val="00AB444B"/>
    <w:rsid w:val="00AE12D0"/>
    <w:rsid w:val="00AF40CC"/>
    <w:rsid w:val="00B02625"/>
    <w:rsid w:val="00B04FF8"/>
    <w:rsid w:val="00B06AFE"/>
    <w:rsid w:val="00B073FD"/>
    <w:rsid w:val="00B26915"/>
    <w:rsid w:val="00B9009A"/>
    <w:rsid w:val="00BC6228"/>
    <w:rsid w:val="00BE5CE7"/>
    <w:rsid w:val="00C0283D"/>
    <w:rsid w:val="00C4117F"/>
    <w:rsid w:val="00C5021B"/>
    <w:rsid w:val="00C5294A"/>
    <w:rsid w:val="00C92E8B"/>
    <w:rsid w:val="00CB500A"/>
    <w:rsid w:val="00CF0730"/>
    <w:rsid w:val="00D0278E"/>
    <w:rsid w:val="00D054AC"/>
    <w:rsid w:val="00D1237E"/>
    <w:rsid w:val="00D14410"/>
    <w:rsid w:val="00D36554"/>
    <w:rsid w:val="00D95E6A"/>
    <w:rsid w:val="00DB56DE"/>
    <w:rsid w:val="00DC15F9"/>
    <w:rsid w:val="00DD0F79"/>
    <w:rsid w:val="00DE3947"/>
    <w:rsid w:val="00DF0F89"/>
    <w:rsid w:val="00E4021F"/>
    <w:rsid w:val="00E768CF"/>
    <w:rsid w:val="00E97BC1"/>
    <w:rsid w:val="00EF0D44"/>
    <w:rsid w:val="00EF7650"/>
    <w:rsid w:val="00F0613E"/>
    <w:rsid w:val="00F16B0E"/>
    <w:rsid w:val="00F21572"/>
    <w:rsid w:val="00F32EEE"/>
    <w:rsid w:val="00F63942"/>
    <w:rsid w:val="00F754EF"/>
    <w:rsid w:val="00F76A50"/>
    <w:rsid w:val="00F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17436-117F-4F81-B536-38A3FE4F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1DD"/>
  </w:style>
  <w:style w:type="paragraph" w:styleId="Footer">
    <w:name w:val="footer"/>
    <w:basedOn w:val="Normal"/>
    <w:link w:val="FooterChar"/>
    <w:uiPriority w:val="99"/>
    <w:unhideWhenUsed/>
    <w:rsid w:val="00AA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1DD"/>
  </w:style>
  <w:style w:type="paragraph" w:styleId="ListParagraph">
    <w:name w:val="List Paragraph"/>
    <w:basedOn w:val="Normal"/>
    <w:uiPriority w:val="34"/>
    <w:qFormat/>
    <w:rsid w:val="009D03EF"/>
    <w:pPr>
      <w:ind w:left="720"/>
      <w:contextualSpacing/>
    </w:pPr>
  </w:style>
  <w:style w:type="table" w:styleId="PlainTable3">
    <w:name w:val="Plain Table 3"/>
    <w:basedOn w:val="TableNormal"/>
    <w:uiPriority w:val="43"/>
    <w:rsid w:val="00065D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65D4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ABE9A-01DE-457C-AD6D-10EF484E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fernando</cp:lastModifiedBy>
  <cp:revision>43</cp:revision>
  <cp:lastPrinted>2015-07-09T12:24:00Z</cp:lastPrinted>
  <dcterms:created xsi:type="dcterms:W3CDTF">2015-06-26T19:03:00Z</dcterms:created>
  <dcterms:modified xsi:type="dcterms:W3CDTF">2015-07-16T04:47:00Z</dcterms:modified>
</cp:coreProperties>
</file>