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AquaX Sustainability Annex</w:t>
      </w:r>
    </w:p>
    <w:p>
      <w:pPr>
        <w:pStyle w:val="Subtitle"/>
      </w:pPr>
      <w:r>
        <w:t>Environmental scenario estimates and disclosure data gaps</w:t>
      </w:r>
    </w:p>
    <w:p>
      <w:r>
        <w:t>This annex summarises modeled operational changes for the project below. The four estimates support review and planning; additional evidence is needed for framework disclosures.</w:t>
      </w:r>
    </w:p>
    <w:p>
      <w:pPr>
        <w:pStyle w:val="Heading1"/>
      </w:pPr>
      <w:r>
        <w:t>Project Overview</w:t>
      </w:r>
    </w:p>
    <w:p>
      <w:r>
        <w:t>Plant: AquaX treatment plant</w:t>
        <w:br/>
        <w:t>Reporting period: Illustrative annual operating scenario</w:t>
        <w:br/>
        <w:t>Sector: Wastewater treatment</w:t>
      </w:r>
    </w:p>
    <w:p>
      <w:pPr>
        <w:pStyle w:val="Heading1"/>
      </w:pPr>
      <w:r>
        <w:t>Structured ESG Metrics</w:t>
      </w:r>
    </w:p>
    <w:tbl>
      <w:tblPr>
        <w:tblW w:type="auto" w:w="0"/>
        <w:jc w:val="center"/>
        <w:tblLayout w:type="fixed"/>
        <w:tblLook w:firstColumn="1" w:firstRow="1" w:lastColumn="0" w:lastRow="0" w:noHBand="0" w:noVBand="1" w:val="04A0"/>
      </w:tblPr>
      <w:tblGrid>
        <w:gridCol w:w="3600"/>
        <w:gridCol w:w="1440"/>
        <w:gridCol w:w="1728"/>
        <w:gridCol w:w="3456"/>
      </w:tblGrid>
      <w:tr>
        <w:trPr>
          <w:cantSplit/>
          <w:tblHeader/>
        </w:trPr>
        <w:tc>
          <w:tcPr>
            <w:tcW w:type="dxa" w:w="36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16384B"/>
          </w:tcPr>
          <w:p>
            <w:pPr>
              <w:spacing w:after="0" w:line="252" w:lineRule="auto"/>
            </w:pPr>
            <w:r>
              <w:rPr>
                <w:b/>
                <w:color w:val="FFFFFF"/>
                <w:sz w:val="18"/>
              </w:rPr>
              <w:t>Annualized metric</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16384B"/>
          </w:tcPr>
          <w:p>
            <w:pPr>
              <w:spacing w:after="0" w:line="252" w:lineRule="auto"/>
              <w:jc w:val="right"/>
            </w:pPr>
            <w:r>
              <w:rPr>
                <w:b/>
                <w:color w:val="FFFFFF"/>
                <w:sz w:val="18"/>
              </w:rPr>
              <w:t>Value</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16384B"/>
          </w:tcPr>
          <w:p>
            <w:pPr>
              <w:spacing w:after="0" w:line="252" w:lineRule="auto"/>
            </w:pPr>
            <w:r>
              <w:rPr>
                <w:b/>
                <w:color w:val="FFFFFF"/>
                <w:sz w:val="18"/>
              </w:rPr>
              <w:t>Unit</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16384B"/>
          </w:tcPr>
          <w:p>
            <w:pPr>
              <w:spacing w:after="0" w:line="252" w:lineRule="auto"/>
            </w:pPr>
            <w:r>
              <w:rPr>
                <w:b/>
                <w:color w:val="FFFFFF"/>
                <w:sz w:val="18"/>
              </w:rPr>
              <w:t>Data quality</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Energy saved</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jc w:val="right"/>
            </w:pPr>
            <w:r>
              <w:rPr>
                <w:b w:val="0"/>
                <w:color w:val="000000"/>
                <w:sz w:val="18"/>
              </w:rPr>
              <w:t>73,000</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kWh/year</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Illustrative Benchmark</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pPr>
            <w:r>
              <w:rPr>
                <w:b w:val="0"/>
                <w:color w:val="000000"/>
                <w:sz w:val="18"/>
              </w:rPr>
              <w:t>Estimated Scope 2 reduction</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jc w:val="right"/>
            </w:pPr>
            <w:r>
              <w:rPr>
                <w:b w:val="0"/>
                <w:color w:val="000000"/>
                <w:sz w:val="18"/>
              </w:rPr>
              <w:t>29.346</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pPr>
            <w:r>
              <w:rPr>
                <w:b w:val="0"/>
                <w:color w:val="000000"/>
                <w:sz w:val="18"/>
              </w:rPr>
              <w:t>tCO₂e/year</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pPr>
            <w:r>
              <w:rPr>
                <w:b w:val="0"/>
                <w:color w:val="000000"/>
                <w:sz w:val="18"/>
              </w:rPr>
              <w:t>Illustrative Benchmark</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Chemical mass avoided</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jc w:val="right"/>
            </w:pPr>
            <w:r>
              <w:rPr>
                <w:b w:val="0"/>
                <w:color w:val="000000"/>
                <w:sz w:val="18"/>
              </w:rPr>
              <w:t>5,475</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kg/year</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Illustrative Benchmark</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pPr>
            <w:r>
              <w:rPr>
                <w:b w:val="0"/>
                <w:color w:val="000000"/>
                <w:sz w:val="18"/>
              </w:rPr>
              <w:t>Water reuse</w:t>
            </w:r>
          </w:p>
        </w:tc>
        <w:tc>
          <w:tcPr>
            <w:tcW w:type="dxa" w:w="144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jc w:val="right"/>
            </w:pPr>
            <w:r>
              <w:rPr>
                <w:b w:val="0"/>
                <w:color w:val="000000"/>
                <w:sz w:val="18"/>
              </w:rPr>
              <w:t>0</w:t>
            </w:r>
          </w:p>
        </w:tc>
        <w:tc>
          <w:tcPr>
            <w:tcW w:type="dxa" w:w="172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pPr>
            <w:r>
              <w:rPr>
                <w:b w:val="0"/>
                <w:color w:val="000000"/>
                <w:sz w:val="18"/>
              </w:rPr>
              <w:t>m³/year</w:t>
            </w:r>
          </w:p>
        </w:tc>
        <w:tc>
          <w:tcPr>
            <w:tcW w:type="dxa" w:w="345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pPr>
            <w:r>
              <w:rPr>
                <w:b w:val="0"/>
                <w:color w:val="000000"/>
                <w:sz w:val="18"/>
              </w:rPr>
              <w:t>Illustrative Benchmark</w:t>
            </w:r>
          </w:p>
        </w:tc>
      </w:tr>
    </w:tbl>
    <w:p>
      <w:pPr>
        <w:spacing w:after="0"/>
      </w:pPr>
    </w:p>
    <w:p>
      <w:r>
        <w:t>Negative savings or reductions indicate increases. Values use the backend's precision; quality labels are supplied provenance, not audit conclusions.</w:t>
      </w:r>
    </w:p>
    <w:p>
      <w:pPr>
        <w:pStyle w:val="Heading1"/>
      </w:pPr>
      <w:r>
        <w:t>Methodology and System Boundary</w:t>
      </w:r>
    </w:p>
    <w:p>
      <w:r>
        <w:t>Baseline: 1.0 kWh/m³; Manual input. Baseline quality: User Input. Annualization uses 365 operating days.</w:t>
      </w:r>
    </w:p>
    <w:p>
      <w:r>
        <w:t>Energy: (baseline intensity − optimized intensity) × daily influent × operating days. Scope 2: annual energy saved × grid factor ÷ 1,000. Chemicals: daily baseline mass × reduction percentage ÷ 100 × operating days. Reuse: daily reuse × operating days.</w:t>
      </w:r>
    </w:p>
    <w:p>
      <w:r>
        <w:t>Grid factor: 0.402 kgCO2e/kWh; source: EMA — exact publication to be confirmed; year: 2024; status: provisional. This factor is reproduced from the backend and has not been independently verified by this exporter.</w:t>
      </w:r>
    </w:p>
    <w:p>
      <w:r>
        <w:t>Quantified: treatment electricity change, associated location-based Scope 2 change, chemical mass avoided and water reuse. Pending: operator travel, chemical GHG and a full water balance. Excluded: embodied hardware carbon and speculative Scope 4 avoided emissions.</w:t>
      </w:r>
    </w:p>
    <w:p>
      <w:r>
        <w:br w:type="page"/>
      </w:r>
    </w:p>
    <w:p>
      <w:pPr>
        <w:pStyle w:val="Heading1"/>
      </w:pPr>
      <w:r>
        <w:t>Framework Mapping and Data Gaps</w:t>
      </w:r>
    </w:p>
    <w:p>
      <w:r>
        <w:t>These links identify relevant disclosure topics. No disclosure is marked complete, and missing values remain unavailable rather than zero. Detailed mappings and source URLs are retained in the companion JSON.</w:t>
      </w:r>
    </w:p>
    <w:tbl>
      <w:tblPr>
        <w:tblW w:type="auto" w:w="0"/>
        <w:jc w:val="center"/>
        <w:tblLayout w:type="fixed"/>
        <w:tblLook w:firstColumn="1" w:firstRow="1" w:lastColumn="0" w:lastRow="0" w:noHBand="0" w:noVBand="1" w:val="04A0"/>
      </w:tblPr>
      <w:tblGrid>
        <w:gridCol w:w="2376"/>
        <w:gridCol w:w="1080"/>
        <w:gridCol w:w="6768"/>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16384B"/>
          </w:tcPr>
          <w:p>
            <w:pPr>
              <w:spacing w:after="0" w:line="252" w:lineRule="auto"/>
            </w:pPr>
            <w:r>
              <w:rPr>
                <w:b/>
                <w:color w:val="FFFFFF"/>
                <w:sz w:val="18"/>
              </w:rPr>
              <w:t>Framework topic</w:t>
            </w:r>
          </w:p>
        </w:tc>
        <w:tc>
          <w:tcPr>
            <w:tcW w:type="dxa" w:w="10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16384B"/>
          </w:tcPr>
          <w:p>
            <w:pPr>
              <w:spacing w:after="0" w:line="252" w:lineRule="auto"/>
            </w:pPr>
            <w:r>
              <w:rPr>
                <w:b/>
                <w:color w:val="FFFFFF"/>
                <w:sz w:val="18"/>
              </w:rPr>
              <w:t>Coverage</w:t>
            </w:r>
          </w:p>
        </w:tc>
        <w:tc>
          <w:tcPr>
            <w:tcW w:type="dxa" w:w="67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16384B"/>
          </w:tcPr>
          <w:p>
            <w:pPr>
              <w:spacing w:after="0" w:line="252" w:lineRule="auto"/>
            </w:pPr>
            <w:r>
              <w:rPr>
                <w:b/>
                <w:color w:val="FFFFFF"/>
                <w:sz w:val="18"/>
              </w:rPr>
              <w:t>Information still needed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SGX Core ESG</w:t>
              <w:br/>
              <w:t>Metrics 5 and 6</w:t>
            </w:r>
          </w:p>
        </w:tc>
        <w:tc>
          <w:tcPr>
            <w:tcW w:type="dxa" w:w="10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Missing</w:t>
            </w:r>
          </w:p>
        </w:tc>
        <w:tc>
          <w:tcPr>
            <w:tcW w:type="dxa" w:w="67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Add water consumption and a defined activity denominator. Reuse is not consumption.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pPr>
            <w:r>
              <w:rPr>
                <w:b w:val="0"/>
                <w:color w:val="000000"/>
                <w:sz w:val="18"/>
              </w:rPr>
              <w:t>GRI 303:2018</w:t>
              <w:br/>
              <w:t>303-3, 303-4, 303-5</w:t>
            </w:r>
          </w:p>
        </w:tc>
        <w:tc>
          <w:tcPr>
            <w:tcW w:type="dxa" w:w="10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pPr>
            <w:r>
              <w:rPr>
                <w:b w:val="0"/>
                <w:color w:val="000000"/>
                <w:sz w:val="18"/>
              </w:rPr>
              <w:t>Missing</w:t>
            </w:r>
          </w:p>
        </w:tc>
        <w:tc>
          <w:tcPr>
            <w:tcW w:type="dxa" w:w="67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pPr>
            <w:r>
              <w:rPr>
                <w:b w:val="0"/>
                <w:color w:val="000000"/>
                <w:sz w:val="18"/>
              </w:rPr>
              <w:t>Add withdrawals, discharge, consumption, relevant breakdowns and boundary information.</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GRI 302:2016</w:t>
              <w:br/>
              <w:t>302-1, 302-3, 302-4</w:t>
            </w:r>
          </w:p>
        </w:tc>
        <w:tc>
          <w:tcPr>
            <w:tcW w:type="dxa" w:w="10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Partial</w:t>
            </w:r>
          </w:p>
        </w:tc>
        <w:tc>
          <w:tcPr>
            <w:tcW w:type="dxa" w:w="67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Savings and baseline intensity offer context. Add absolute consumption, period intensity and evidence of reductions.</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pPr>
            <w:r>
              <w:rPr>
                <w:b w:val="0"/>
                <w:color w:val="000000"/>
                <w:sz w:val="18"/>
              </w:rPr>
              <w:t>AWS V3.0</w:t>
              <w:br/>
              <w:t>1.3.2 and 1.3.3</w:t>
            </w:r>
          </w:p>
        </w:tc>
        <w:tc>
          <w:tcPr>
            <w:tcW w:type="dxa" w:w="10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pPr>
            <w:r>
              <w:rPr>
                <w:b w:val="0"/>
                <w:color w:val="000000"/>
                <w:sz w:val="18"/>
              </w:rPr>
              <w:t>Partial</w:t>
            </w:r>
          </w:p>
        </w:tc>
        <w:tc>
          <w:tcPr>
            <w:tcW w:type="dxa" w:w="67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FFFFF"/>
          </w:tcPr>
          <w:p>
            <w:pPr>
              <w:spacing w:after="0" w:line="252" w:lineRule="auto"/>
            </w:pPr>
            <w:r>
              <w:rPr>
                <w:b w:val="0"/>
                <w:color w:val="000000"/>
                <w:sz w:val="18"/>
              </w:rPr>
              <w:t>Reuse supports one water-balance entry. Add a site map, other flows, storage and monthly monitoring.</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PUB WEMP</w:t>
              <w:br/>
              <w:t>WEI and recycling</w:t>
            </w:r>
          </w:p>
        </w:tc>
        <w:tc>
          <w:tcPr>
            <w:tcW w:type="dxa" w:w="1080"/>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Partial</w:t>
            </w:r>
          </w:p>
        </w:tc>
        <w:tc>
          <w:tcPr>
            <w:tcW w:type="dxa" w:w="6768"/>
            <w:vAlign w:val="center"/>
            <w:tcBorders>
              <w:top w:val="single" w:sz="4" w:color="D9D9D9"/>
              <w:left w:val="single" w:sz="4" w:color="D9D9D9"/>
              <w:bottom w:val="single" w:sz="4" w:color="D9D9D9"/>
              <w:right w:val="single" w:sz="4" w:color="D9D9D9"/>
            </w:tcBorders>
            <w:tcMar>
              <w:top w:w="85" w:type="dxa"/>
              <w:bottom w:w="85" w:type="dxa"/>
              <w:left w:w="85" w:type="dxa"/>
              <w:right w:w="85" w:type="dxa"/>
            </w:tcMar>
            <w:shd w:fill="F1F5F7"/>
          </w:tcPr>
          <w:p>
            <w:pPr>
              <w:spacing w:after="0" w:line="252" w:lineRule="auto"/>
            </w:pPr>
            <w:r>
              <w:rPr>
                <w:b w:val="0"/>
                <w:color w:val="000000"/>
                <w:sz w:val="18"/>
              </w:rPr>
              <w:t>Add consumption, a business activity indicator and the applicable recycling methodology and denominator.</w:t>
            </w:r>
          </w:p>
        </w:tc>
      </w:tr>
    </w:tbl>
    <w:p>
      <w:pPr>
        <w:spacing w:after="0"/>
      </w:pPr>
    </w:p>
    <w:p>
      <w:pPr>
        <w:pStyle w:val="Heading1"/>
      </w:pPr>
      <w:r>
        <w:t>Reporting Notes</w:t>
      </w:r>
    </w:p>
    <w:p>
      <w:r>
        <w:t>GRI 303-5 addresses water consumption. Water reused cannot be substituted for that measure. Energy saved is a change against a baseline and does not represent total energy consumed. Chemical mass avoided does not establish chemical emissions avoided.</w:t>
      </w:r>
    </w:p>
    <w:p>
      <w:r>
        <w:t>This version retains GRI 302 as specified in the PRD. GRI 103 Energy 2025 takes effect for reports published from 1 January 2027; review the applicable energy mapping before publication.</w:t>
      </w:r>
    </w:p>
    <w:p>
      <w:r>
        <w:t>The companion JSON preserves the backend outputs, original input dictionary, metric formulas and assumptions, baseline provenance, emission-factor metadata, mapping gaps and sources. Retain it with this annex.</w:t>
      </w:r>
    </w:p>
    <w:p>
      <w:pPr>
        <w:pStyle w:val="Heading1"/>
      </w:pPr>
      <w:r>
        <w:t>Mandatory Legal Disclaimers</w:t>
      </w:r>
    </w:p>
    <w:p>
      <w:r>
        <w:t>This annex presents modeled scenarios, not audited compliance certifications. Data-quality labels describe claimed provenance, not independent verification. Framework references are partial mappings and do not establish compliance, assurance or AWS certification. Confirm records, reporting boundaries, applicable standard versions and emission factors before external reporting. No vendor performance guarantee is implied.</w:t>
      </w:r>
    </w:p>
    <w:p>
      <w:pPr>
        <w:pStyle w:val="Heading1"/>
      </w:pPr>
      <w:r>
        <w:t>Source References</w:t>
      </w:r>
    </w:p>
    <w:p>
      <w:pPr>
        <w:spacing w:after="60"/>
      </w:pPr>
      <w:hyperlink r:id="rId9">
        <w:r>
          <w:rPr>
            <w:sz w:val="16"/>
          </w:rPr>
          <w:t>1. GRI 303 Water and Effluents 2018</w:t>
        </w:r>
      </w:hyperlink>
      <w:r>
        <w:br/>
      </w:r>
      <w:hyperlink r:id="rId10">
        <w:r>
          <w:rPr>
            <w:sz w:val="16"/>
          </w:rPr>
          <w:t>2. GRI 302 Energy 2016</w:t>
        </w:r>
      </w:hyperlink>
      <w:r>
        <w:br/>
      </w:r>
      <w:hyperlink r:id="rId11">
        <w:r>
          <w:rPr>
            <w:sz w:val="16"/>
          </w:rPr>
          <w:t>3. GRI 103 Energy 2025 effective 1 January 2027</w:t>
        </w:r>
      </w:hyperlink>
      <w:r>
        <w:br/>
      </w:r>
      <w:hyperlink r:id="rId12">
        <w:r>
          <w:rPr>
            <w:sz w:val="16"/>
          </w:rPr>
          <w:t>4. SGX Core ESG Metrics April 2023</w:t>
        </w:r>
      </w:hyperlink>
      <w:r>
        <w:br/>
      </w:r>
      <w:hyperlink r:id="rId13">
        <w:r>
          <w:rPr>
            <w:sz w:val="16"/>
          </w:rPr>
          <w:t>5. AWS Standard V3.0 Guidance May 2026</w:t>
        </w:r>
      </w:hyperlink>
      <w:r>
        <w:br/>
      </w:r>
      <w:hyperlink r:id="rId14">
        <w:r>
          <w:rPr>
            <w:sz w:val="16"/>
          </w:rPr>
          <w:t>6. PUB Sectoral Water Efficiency Benchmark</w:t>
        </w:r>
      </w:hyperlink>
    </w:p>
    <w:p>
      <w:r>
        <w:rPr>
          <w:sz w:val="16"/>
        </w:rPr>
        <w:t>Mapping sources checked 2026-10-16. Data needs listed here are not exhaustive.</w:t>
      </w:r>
    </w:p>
    <w:sectPr w:rsidR="00FC693F" w:rsidRPr="0006063C" w:rsidSect="00034616">
      <w:footerReference w:type="default" r:id="rId15"/>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AquaX Impact Studio  |  Scenario annex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lobalreporting.org/pdf.ashx?id=12488" TargetMode="External"/><Relationship Id="rId10" Type="http://schemas.openxmlformats.org/officeDocument/2006/relationships/hyperlink" Target="https://www.globalreporting.org/publications/documents/english/gri-302-energy-2016/" TargetMode="External"/><Relationship Id="rId11" Type="http://schemas.openxmlformats.org/officeDocument/2006/relationships/hyperlink" Target="https://www.globalreporting.org/pdf.ashx?id=29537" TargetMode="External"/><Relationship Id="rId12" Type="http://schemas.openxmlformats.org/officeDocument/2006/relationships/hyperlink" Target="https://api2.sgx.com/sites/default/files/2023-05/SGX%20Core%20ESG%20Metrics_for%20website%20%28updated%20Apr2023%29.pdf" TargetMode="External"/><Relationship Id="rId13" Type="http://schemas.openxmlformats.org/officeDocument/2006/relationships/hyperlink" Target="https://a4ws.org/wp-content/uploads/2026/05/AWS-Std.-V3.0-Guidance_FINAL_May-2026.pdf" TargetMode="External"/><Relationship Id="rId14" Type="http://schemas.openxmlformats.org/officeDocument/2006/relationships/hyperlink" Target="https://www.pub.gov.sg/Public/WaterLoop/Water-Conservation/Resources-on-Water-Efficiency-Measures/Sectoral-Water-Efficiency-Benchmark"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AquaX Sustainability Annex</dc:title>
  <dc:subject>Illustrative environmental scenario and framework mapping</dc:subject>
  <dc:creator>AquaX Impact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