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1FC7D" w14:textId="77777777" w:rsidR="00F922A0" w:rsidRDefault="00F922A0" w:rsidP="004F4F78">
      <w:pPr>
        <w:spacing w:after="120" w:line="240" w:lineRule="auto"/>
        <w:rPr>
          <w:b/>
          <w:bCs/>
          <w:sz w:val="26"/>
          <w:szCs w:val="26"/>
        </w:rPr>
      </w:pPr>
    </w:p>
    <w:p w14:paraId="22C04631" w14:textId="77777777" w:rsidR="00F922A0" w:rsidRPr="004F4F78" w:rsidRDefault="00000000" w:rsidP="004F4F78">
      <w:pPr>
        <w:spacing w:after="120" w:line="240" w:lineRule="auto"/>
        <w:rPr>
          <w:b/>
          <w:bCs/>
          <w:sz w:val="24"/>
          <w:szCs w:val="24"/>
        </w:rPr>
      </w:pPr>
      <w:r w:rsidRPr="004F4F78">
        <w:rPr>
          <w:b/>
          <w:bCs/>
          <w:sz w:val="24"/>
          <w:szCs w:val="24"/>
        </w:rPr>
        <w:t>BUSINESS ASSOCIATE AGREEMENT (BAA)</w:t>
      </w:r>
    </w:p>
    <w:p w14:paraId="4551862A" w14:textId="77777777" w:rsidR="00F922A0" w:rsidRPr="004F4F78" w:rsidRDefault="00000000" w:rsidP="004F4F78">
      <w:pPr>
        <w:spacing w:after="120" w:line="240" w:lineRule="auto"/>
        <w:rPr>
          <w:sz w:val="21"/>
          <w:szCs w:val="21"/>
        </w:rPr>
      </w:pPr>
      <w:r w:rsidRPr="004F4F78">
        <w:rPr>
          <w:sz w:val="21"/>
          <w:szCs w:val="21"/>
        </w:rPr>
        <w:t xml:space="preserve">Between </w:t>
      </w:r>
      <w:proofErr w:type="spellStart"/>
      <w:r w:rsidRPr="004F4F78">
        <w:rPr>
          <w:sz w:val="21"/>
          <w:szCs w:val="21"/>
        </w:rPr>
        <w:t>alphaSource</w:t>
      </w:r>
      <w:proofErr w:type="spellEnd"/>
      <w:r w:rsidRPr="004F4F78">
        <w:rPr>
          <w:sz w:val="21"/>
          <w:szCs w:val="21"/>
        </w:rPr>
        <w:t xml:space="preserve"> Network, LLC (dba: </w:t>
      </w:r>
      <w:proofErr w:type="spellStart"/>
      <w:r w:rsidRPr="004F4F78">
        <w:rPr>
          <w:sz w:val="21"/>
          <w:szCs w:val="21"/>
        </w:rPr>
        <w:t>alphaSource</w:t>
      </w:r>
      <w:proofErr w:type="spellEnd"/>
      <w:r w:rsidRPr="004F4F78">
        <w:rPr>
          <w:sz w:val="21"/>
          <w:szCs w:val="21"/>
        </w:rPr>
        <w:t xml:space="preserve"> Consulting) ("BA") and</w:t>
      </w:r>
    </w:p>
    <w:p w14:paraId="6394D438" w14:textId="77777777" w:rsidR="00F922A0" w:rsidRPr="004F4F78" w:rsidRDefault="00000000" w:rsidP="004F4F78">
      <w:pPr>
        <w:spacing w:after="120" w:line="240" w:lineRule="auto"/>
        <w:rPr>
          <w:sz w:val="21"/>
          <w:szCs w:val="21"/>
        </w:rPr>
      </w:pPr>
      <w:r w:rsidRPr="004F4F78">
        <w:rPr>
          <w:sz w:val="21"/>
          <w:szCs w:val="21"/>
        </w:rPr>
        <w:t xml:space="preserve"> </w:t>
      </w:r>
      <w:r w:rsidRPr="004F4F78">
        <w:rPr>
          <w:b/>
          <w:bCs/>
          <w:sz w:val="21"/>
          <w:szCs w:val="21"/>
        </w:rPr>
        <w:t>[Client Name]</w:t>
      </w:r>
      <w:r w:rsidRPr="004F4F78">
        <w:rPr>
          <w:sz w:val="21"/>
          <w:szCs w:val="21"/>
        </w:rPr>
        <w:t xml:space="preserve"> ("Covered Entity")</w:t>
      </w:r>
    </w:p>
    <w:p w14:paraId="5F9E55D0" w14:textId="77777777" w:rsidR="00F922A0" w:rsidRPr="004F4F78" w:rsidRDefault="00000000" w:rsidP="004F4F78">
      <w:pPr>
        <w:spacing w:after="120" w:line="240" w:lineRule="auto"/>
        <w:rPr>
          <w:b/>
          <w:bCs/>
          <w:sz w:val="21"/>
          <w:szCs w:val="21"/>
        </w:rPr>
      </w:pPr>
      <w:r w:rsidRPr="004F4F78">
        <w:rPr>
          <w:sz w:val="21"/>
          <w:szCs w:val="21"/>
        </w:rPr>
        <w:t xml:space="preserve">Effective </w:t>
      </w:r>
      <w:proofErr w:type="spellStart"/>
      <w:proofErr w:type="gramStart"/>
      <w:r w:rsidRPr="004F4F78">
        <w:rPr>
          <w:sz w:val="21"/>
          <w:szCs w:val="21"/>
        </w:rPr>
        <w:t>Date:Dec</w:t>
      </w:r>
      <w:proofErr w:type="spellEnd"/>
      <w:proofErr w:type="gramEnd"/>
      <w:r w:rsidRPr="004F4F78">
        <w:rPr>
          <w:sz w:val="21"/>
          <w:szCs w:val="21"/>
        </w:rPr>
        <w:t xml:space="preserve"> 2, 2025</w:t>
      </w:r>
    </w:p>
    <w:p w14:paraId="584EF4DD" w14:textId="77777777" w:rsidR="00F922A0" w:rsidRPr="004F4F78" w:rsidRDefault="00000000" w:rsidP="004F4F78">
      <w:pPr>
        <w:spacing w:after="120" w:line="240" w:lineRule="auto"/>
        <w:rPr>
          <w:sz w:val="21"/>
          <w:szCs w:val="21"/>
        </w:rPr>
      </w:pPr>
      <w:r w:rsidRPr="004F4F78">
        <w:rPr>
          <w:sz w:val="21"/>
          <w:szCs w:val="21"/>
        </w:rPr>
        <w:t xml:space="preserve"> </w:t>
      </w:r>
    </w:p>
    <w:p w14:paraId="68149621" w14:textId="77777777" w:rsidR="00F922A0" w:rsidRPr="004F4F78" w:rsidRDefault="00000000" w:rsidP="004F4F78">
      <w:pPr>
        <w:numPr>
          <w:ilvl w:val="0"/>
          <w:numId w:val="1"/>
        </w:numPr>
        <w:spacing w:after="120" w:line="240" w:lineRule="auto"/>
        <w:rPr>
          <w:sz w:val="21"/>
          <w:szCs w:val="21"/>
        </w:rPr>
      </w:pPr>
      <w:r w:rsidRPr="004F4F78">
        <w:rPr>
          <w:b/>
          <w:bCs/>
          <w:sz w:val="21"/>
          <w:szCs w:val="21"/>
        </w:rPr>
        <w:t>Purpose</w:t>
      </w:r>
      <w:r w:rsidRPr="004F4F78">
        <w:rPr>
          <w:sz w:val="21"/>
          <w:szCs w:val="21"/>
        </w:rPr>
        <w:t>: BA provides AR/Claims consulting; may access incidental PHI in reports/onsite observations for trend analysis only.</w:t>
      </w:r>
    </w:p>
    <w:p w14:paraId="78D053A4" w14:textId="77777777" w:rsidR="00F922A0" w:rsidRPr="004F4F78" w:rsidRDefault="00000000" w:rsidP="004F4F78">
      <w:pPr>
        <w:numPr>
          <w:ilvl w:val="0"/>
          <w:numId w:val="1"/>
        </w:numPr>
        <w:spacing w:after="120" w:line="240" w:lineRule="auto"/>
        <w:rPr>
          <w:sz w:val="21"/>
          <w:szCs w:val="21"/>
        </w:rPr>
      </w:pPr>
      <w:r w:rsidRPr="004F4F78">
        <w:rPr>
          <w:b/>
          <w:bCs/>
          <w:sz w:val="21"/>
          <w:szCs w:val="21"/>
        </w:rPr>
        <w:t>Permitted Uses</w:t>
      </w:r>
      <w:r w:rsidRPr="004F4F78">
        <w:rPr>
          <w:sz w:val="21"/>
          <w:szCs w:val="21"/>
        </w:rPr>
        <w:t>: BA may use/disclose PHI only for client's benefit (e.g., analysis). No further use/sale. Minimum necessary.</w:t>
      </w:r>
    </w:p>
    <w:p w14:paraId="6B25AABE" w14:textId="77777777" w:rsidR="00F922A0" w:rsidRPr="004F4F78" w:rsidRDefault="00000000" w:rsidP="004F4F78">
      <w:pPr>
        <w:numPr>
          <w:ilvl w:val="0"/>
          <w:numId w:val="1"/>
        </w:numPr>
        <w:spacing w:after="120" w:line="240" w:lineRule="auto"/>
        <w:rPr>
          <w:sz w:val="21"/>
          <w:szCs w:val="21"/>
        </w:rPr>
      </w:pPr>
      <w:r w:rsidRPr="004F4F78">
        <w:rPr>
          <w:b/>
          <w:bCs/>
          <w:sz w:val="21"/>
          <w:szCs w:val="21"/>
        </w:rPr>
        <w:t>Safeguards</w:t>
      </w:r>
      <w:r w:rsidRPr="004F4F78">
        <w:rPr>
          <w:sz w:val="21"/>
          <w:szCs w:val="21"/>
        </w:rPr>
        <w:t>: BA will:</w:t>
      </w:r>
    </w:p>
    <w:p w14:paraId="1F143815" w14:textId="77777777" w:rsidR="00F922A0" w:rsidRPr="004F4F78" w:rsidRDefault="00000000" w:rsidP="004F4F78">
      <w:pPr>
        <w:numPr>
          <w:ilvl w:val="1"/>
          <w:numId w:val="1"/>
        </w:numPr>
        <w:spacing w:after="120" w:line="240" w:lineRule="auto"/>
        <w:rPr>
          <w:sz w:val="21"/>
          <w:szCs w:val="21"/>
        </w:rPr>
      </w:pPr>
      <w:r w:rsidRPr="004F4F78">
        <w:rPr>
          <w:sz w:val="21"/>
          <w:szCs w:val="21"/>
        </w:rPr>
        <w:t>Implement Privacy/Security Rules (policies, encryption, training).</w:t>
      </w:r>
    </w:p>
    <w:p w14:paraId="65B8373F" w14:textId="77777777" w:rsidR="00F922A0" w:rsidRPr="004F4F78" w:rsidRDefault="00000000" w:rsidP="004F4F78">
      <w:pPr>
        <w:numPr>
          <w:ilvl w:val="1"/>
          <w:numId w:val="1"/>
        </w:numPr>
        <w:spacing w:after="120" w:line="240" w:lineRule="auto"/>
        <w:rPr>
          <w:sz w:val="21"/>
          <w:szCs w:val="21"/>
        </w:rPr>
      </w:pPr>
      <w:r w:rsidRPr="004F4F78">
        <w:rPr>
          <w:sz w:val="21"/>
          <w:szCs w:val="21"/>
        </w:rPr>
        <w:t>Report breaches to Covered Entity within 15 days.</w:t>
      </w:r>
    </w:p>
    <w:p w14:paraId="672C5FE0" w14:textId="77777777" w:rsidR="00F922A0" w:rsidRPr="004F4F78" w:rsidRDefault="00000000" w:rsidP="004F4F78">
      <w:pPr>
        <w:numPr>
          <w:ilvl w:val="1"/>
          <w:numId w:val="1"/>
        </w:numPr>
        <w:spacing w:after="120" w:line="240" w:lineRule="auto"/>
        <w:rPr>
          <w:sz w:val="21"/>
          <w:szCs w:val="21"/>
        </w:rPr>
      </w:pPr>
      <w:r w:rsidRPr="004F4F78">
        <w:rPr>
          <w:sz w:val="21"/>
          <w:szCs w:val="21"/>
        </w:rPr>
        <w:t xml:space="preserve"> Ensure subcontractors sign BAAs.</w:t>
      </w:r>
    </w:p>
    <w:p w14:paraId="2C66F51C" w14:textId="77777777" w:rsidR="00F922A0" w:rsidRPr="004F4F78" w:rsidRDefault="00000000" w:rsidP="004F4F78">
      <w:pPr>
        <w:numPr>
          <w:ilvl w:val="0"/>
          <w:numId w:val="1"/>
        </w:numPr>
        <w:spacing w:after="120" w:line="240" w:lineRule="auto"/>
        <w:rPr>
          <w:sz w:val="21"/>
          <w:szCs w:val="21"/>
        </w:rPr>
      </w:pPr>
      <w:r w:rsidRPr="004F4F78">
        <w:rPr>
          <w:b/>
          <w:bCs/>
          <w:sz w:val="21"/>
          <w:szCs w:val="21"/>
        </w:rPr>
        <w:t>Obligations</w:t>
      </w:r>
      <w:r w:rsidRPr="004F4F78">
        <w:rPr>
          <w:sz w:val="21"/>
          <w:szCs w:val="21"/>
        </w:rPr>
        <w:t>:</w:t>
      </w:r>
    </w:p>
    <w:p w14:paraId="04D5F9C2" w14:textId="77777777" w:rsidR="00F922A0" w:rsidRPr="004F4F78" w:rsidRDefault="00000000" w:rsidP="004F4F78">
      <w:pPr>
        <w:numPr>
          <w:ilvl w:val="1"/>
          <w:numId w:val="1"/>
        </w:numPr>
        <w:spacing w:after="120" w:line="240" w:lineRule="auto"/>
        <w:rPr>
          <w:sz w:val="21"/>
          <w:szCs w:val="21"/>
        </w:rPr>
      </w:pPr>
      <w:r w:rsidRPr="004F4F78">
        <w:rPr>
          <w:sz w:val="21"/>
          <w:szCs w:val="21"/>
        </w:rPr>
        <w:t>Access: Return/destroy PHI upon termination.</w:t>
      </w:r>
    </w:p>
    <w:p w14:paraId="1FDB3F00" w14:textId="77777777" w:rsidR="00F922A0" w:rsidRPr="004F4F78" w:rsidRDefault="00000000" w:rsidP="004F4F78">
      <w:pPr>
        <w:numPr>
          <w:ilvl w:val="1"/>
          <w:numId w:val="1"/>
        </w:numPr>
        <w:spacing w:after="120" w:line="240" w:lineRule="auto"/>
        <w:rPr>
          <w:sz w:val="21"/>
          <w:szCs w:val="21"/>
        </w:rPr>
      </w:pPr>
      <w:r w:rsidRPr="004F4F78">
        <w:rPr>
          <w:sz w:val="21"/>
          <w:szCs w:val="21"/>
        </w:rPr>
        <w:t>Audits: Allow inspection (with notice).</w:t>
      </w:r>
    </w:p>
    <w:p w14:paraId="390CAD54" w14:textId="77777777" w:rsidR="00F922A0" w:rsidRPr="004F4F78" w:rsidRDefault="00000000" w:rsidP="004F4F78">
      <w:pPr>
        <w:numPr>
          <w:ilvl w:val="1"/>
          <w:numId w:val="1"/>
        </w:numPr>
        <w:spacing w:after="120" w:line="240" w:lineRule="auto"/>
        <w:rPr>
          <w:sz w:val="21"/>
          <w:szCs w:val="21"/>
        </w:rPr>
      </w:pPr>
      <w:r w:rsidRPr="004F4F78">
        <w:rPr>
          <w:sz w:val="21"/>
          <w:szCs w:val="21"/>
        </w:rPr>
        <w:t>Breach Notification: Per HIPAA (60 days to individuals/HHS if applicable).</w:t>
      </w:r>
    </w:p>
    <w:p w14:paraId="3662508C" w14:textId="77777777" w:rsidR="00F922A0" w:rsidRPr="004F4F78" w:rsidRDefault="00000000" w:rsidP="004F4F78">
      <w:pPr>
        <w:numPr>
          <w:ilvl w:val="0"/>
          <w:numId w:val="1"/>
        </w:numPr>
        <w:spacing w:after="120" w:line="240" w:lineRule="auto"/>
        <w:rPr>
          <w:sz w:val="21"/>
          <w:szCs w:val="21"/>
        </w:rPr>
      </w:pPr>
      <w:r w:rsidRPr="004F4F78">
        <w:rPr>
          <w:sz w:val="21"/>
          <w:szCs w:val="21"/>
        </w:rPr>
        <w:t xml:space="preserve"> </w:t>
      </w:r>
      <w:r w:rsidRPr="004F4F78">
        <w:rPr>
          <w:b/>
          <w:bCs/>
          <w:sz w:val="21"/>
          <w:szCs w:val="21"/>
        </w:rPr>
        <w:t>Term</w:t>
      </w:r>
      <w:r w:rsidRPr="004F4F78">
        <w:rPr>
          <w:sz w:val="21"/>
          <w:szCs w:val="21"/>
        </w:rPr>
        <w:t>: Matches services agreement; survives termination for PHI obligations.</w:t>
      </w:r>
    </w:p>
    <w:p w14:paraId="378CF5AF" w14:textId="77777777" w:rsidR="004F4F78" w:rsidRDefault="00000000" w:rsidP="004F4F78">
      <w:pPr>
        <w:numPr>
          <w:ilvl w:val="0"/>
          <w:numId w:val="1"/>
        </w:numPr>
        <w:spacing w:after="120" w:line="240" w:lineRule="auto"/>
        <w:rPr>
          <w:sz w:val="21"/>
          <w:szCs w:val="21"/>
        </w:rPr>
      </w:pPr>
      <w:r w:rsidRPr="004F4F78">
        <w:rPr>
          <w:sz w:val="21"/>
          <w:szCs w:val="21"/>
        </w:rPr>
        <w:t xml:space="preserve"> </w:t>
      </w:r>
      <w:r w:rsidRPr="004F4F78">
        <w:rPr>
          <w:b/>
          <w:bCs/>
          <w:sz w:val="21"/>
          <w:szCs w:val="21"/>
        </w:rPr>
        <w:t>Governing</w:t>
      </w:r>
      <w:r w:rsidRPr="004F4F78">
        <w:rPr>
          <w:sz w:val="21"/>
          <w:szCs w:val="21"/>
        </w:rPr>
        <w:t xml:space="preserve"> </w:t>
      </w:r>
      <w:r w:rsidRPr="004F4F78">
        <w:rPr>
          <w:b/>
          <w:bCs/>
          <w:sz w:val="21"/>
          <w:szCs w:val="21"/>
        </w:rPr>
        <w:t>Law</w:t>
      </w:r>
      <w:r w:rsidRPr="004F4F78">
        <w:rPr>
          <w:sz w:val="21"/>
          <w:szCs w:val="21"/>
        </w:rPr>
        <w:t>: HIPAA and [State] law.</w:t>
      </w:r>
    </w:p>
    <w:p w14:paraId="5CEA116A" w14:textId="77777777" w:rsidR="004F4F78" w:rsidRDefault="00000000" w:rsidP="004F4F78">
      <w:pPr>
        <w:numPr>
          <w:ilvl w:val="0"/>
          <w:numId w:val="1"/>
        </w:numPr>
        <w:spacing w:after="120" w:line="240" w:lineRule="auto"/>
        <w:rPr>
          <w:sz w:val="21"/>
          <w:szCs w:val="21"/>
        </w:rPr>
      </w:pPr>
      <w:r w:rsidRPr="004F4F78">
        <w:rPr>
          <w:b/>
          <w:bCs/>
          <w:sz w:val="21"/>
          <w:szCs w:val="21"/>
        </w:rPr>
        <w:t>Privacy and HIPAA Compliance</w:t>
      </w:r>
      <w:r w:rsidRPr="004F4F78">
        <w:rPr>
          <w:sz w:val="21"/>
          <w:szCs w:val="21"/>
        </w:rPr>
        <w:t>: BA shall maintain the strict confidentiality of all information provided by Covered Entity, including any Protected Health Information (PHI). BA commits to remaining fully compliant with the HIPAA Privacy Rule, Security Rule, and all applicable regulations in its handling of PHI.</w:t>
      </w:r>
    </w:p>
    <w:p w14:paraId="6FB51307" w14:textId="0E219C21" w:rsidR="00F922A0" w:rsidRDefault="00000000" w:rsidP="004F4F78">
      <w:pPr>
        <w:numPr>
          <w:ilvl w:val="0"/>
          <w:numId w:val="1"/>
        </w:numPr>
        <w:spacing w:after="120" w:line="240" w:lineRule="auto"/>
        <w:rPr>
          <w:sz w:val="21"/>
          <w:szCs w:val="21"/>
        </w:rPr>
      </w:pPr>
      <w:r w:rsidRPr="004F4F78">
        <w:rPr>
          <w:b/>
          <w:bCs/>
          <w:sz w:val="21"/>
          <w:szCs w:val="21"/>
        </w:rPr>
        <w:t>Non-Disclosure of Proprietary Information</w:t>
      </w:r>
      <w:r w:rsidRPr="004F4F78">
        <w:rPr>
          <w:sz w:val="21"/>
          <w:szCs w:val="21"/>
        </w:rPr>
        <w:t>: Covered Entity agrees that it shall not disclose, publish, or disseminate BA's internal technology, processes, methodologies, proprietary information, or trade secrets to any competitor or non-interested third party without the prior written consent of BA. This obligation shall survive the termination or expiration of this Agreement.</w:t>
      </w:r>
    </w:p>
    <w:p w14:paraId="5E49D4BC" w14:textId="77777777" w:rsidR="004F4F78" w:rsidRPr="004F4F78" w:rsidRDefault="004F4F78" w:rsidP="004F4F78">
      <w:pPr>
        <w:spacing w:after="120" w:line="240" w:lineRule="auto"/>
        <w:ind w:left="720"/>
        <w:rPr>
          <w:sz w:val="21"/>
          <w:szCs w:val="21"/>
        </w:rPr>
      </w:pPr>
    </w:p>
    <w:p w14:paraId="10A7EB0F" w14:textId="77777777" w:rsidR="00F922A0" w:rsidRPr="004F4F78" w:rsidRDefault="00000000" w:rsidP="004F4F78">
      <w:pPr>
        <w:spacing w:after="120" w:line="240" w:lineRule="auto"/>
        <w:rPr>
          <w:b/>
          <w:bCs/>
        </w:rPr>
      </w:pPr>
      <w:r w:rsidRPr="004F4F78">
        <w:rPr>
          <w:b/>
          <w:bCs/>
        </w:rPr>
        <w:t>Signatures:</w:t>
      </w:r>
    </w:p>
    <w:p w14:paraId="14F14723" w14:textId="77777777" w:rsidR="00F922A0" w:rsidRDefault="00000000" w:rsidP="004F4F78">
      <w:pPr>
        <w:spacing w:after="120" w:line="240" w:lineRule="auto"/>
      </w:pPr>
      <w:r>
        <w:t>Covered Entity:</w:t>
      </w:r>
      <w:r>
        <w:rPr>
          <w:noProof/>
        </w:rPr>
        <mc:AlternateContent>
          <mc:Choice Requires="wpg">
            <w:drawing>
              <wp:inline distT="114300" distB="114300" distL="114300" distR="114300" wp14:anchorId="2A0148B4" wp14:editId="0E4EE009">
                <wp:extent cx="1638300" cy="400050"/>
                <wp:effectExtent l="0" t="0" r="0" b="0"/>
                <wp:docPr id="2" name="Group 2"/>
                <wp:cNvGraphicFramePr/>
                <a:graphic xmlns:a="http://schemas.openxmlformats.org/drawingml/2006/main">
                  <a:graphicData uri="http://schemas.microsoft.com/office/word/2010/wordprocessingGroup">
                    <wpg:wgp>
                      <wpg:cNvGrpSpPr/>
                      <wpg:grpSpPr>
                        <a:xfrm>
                          <a:off x="0" y="0"/>
                          <a:ext cx="1638300" cy="400050"/>
                          <a:chOff x="0" y="0"/>
                          <a:chExt cx="1638300" cy="400050"/>
                        </a:xfrm>
                      </wpg:grpSpPr>
                      <wps:wsp>
                        <wps:cNvPr id="1952604155" name="Rectangle 1952604155"/>
                        <wps:cNvSpPr/>
                        <wps:spPr>
                          <a:xfrm>
                            <a:off x="0" y="0"/>
                            <a:ext cx="1638300" cy="400050"/>
                          </a:xfrm>
                          <a:prstGeom prst="rect">
                            <a:avLst/>
                          </a:prstGeom>
                          <a:noFill/>
                        </wps:spPr>
                        <wps:bodyPr/>
                      </wps:wsp>
                      <wps:wsp>
                        <wps:cNvPr id="1657241799" name="Straight Connector 1657241799"/>
                        <wps:cNvCnPr/>
                        <wps:spPr>
                          <a:xfrm>
                            <a:off x="0" y="400050"/>
                            <a:ext cx="1638300" cy="0"/>
                          </a:xfrm>
                          <a:prstGeom prst="line">
                            <a:avLst/>
                          </a:prstGeom>
                          <a:noFill/>
                          <a:ln w="23812">
                            <a:solidFill>
                              <a:srgbClr val="000000"/>
                            </a:solidFill>
                          </a:ln>
                        </wps:spPr>
                        <wps:bodyPr/>
                      </wps:w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wp:extent cx="0" cy="0"/>
                <wp:docPr id="0"/>
                <a:graphic>
                  <a:graphicData/>
                </a:graphic>
              </wp:inline>
            </w:drawing>
          </mc:Fallback>
        </mc:AlternateContent>
      </w:r>
      <w:r>
        <w:t xml:space="preserve"> Date: </w:t>
      </w:r>
      <w:r>
        <w:rPr>
          <w:noProof/>
        </w:rPr>
        <mc:AlternateContent>
          <mc:Choice Requires="wpg">
            <w:drawing>
              <wp:inline distT="114300" distB="114300" distL="114300" distR="114300" wp14:anchorId="02F5670E" wp14:editId="1B7F36E4">
                <wp:extent cx="1638300" cy="400050"/>
                <wp:effectExtent l="0" t="0" r="0" b="0"/>
                <wp:docPr id="4" name="Group 4"/>
                <wp:cNvGraphicFramePr/>
                <a:graphic xmlns:a="http://schemas.openxmlformats.org/drawingml/2006/main">
                  <a:graphicData uri="http://schemas.microsoft.com/office/word/2010/wordprocessingGroup">
                    <wpg:wgp>
                      <wpg:cNvGrpSpPr/>
                      <wpg:grpSpPr>
                        <a:xfrm>
                          <a:off x="0" y="0"/>
                          <a:ext cx="1638300" cy="400050"/>
                          <a:chOff x="0" y="0"/>
                          <a:chExt cx="1638300" cy="400050"/>
                        </a:xfrm>
                      </wpg:grpSpPr>
                      <wps:wsp>
                        <wps:cNvPr id="250827737" name="Rectangle 250827737"/>
                        <wps:cNvSpPr/>
                        <wps:spPr>
                          <a:xfrm>
                            <a:off x="0" y="0"/>
                            <a:ext cx="1638300" cy="400050"/>
                          </a:xfrm>
                          <a:prstGeom prst="rect">
                            <a:avLst/>
                          </a:prstGeom>
                          <a:noFill/>
                        </wps:spPr>
                        <wps:bodyPr/>
                      </wps:wsp>
                      <wps:wsp>
                        <wps:cNvPr id="1805847098" name="Straight Connector 1805847098"/>
                        <wps:cNvCnPr/>
                        <wps:spPr>
                          <a:xfrm>
                            <a:off x="0" y="400050"/>
                            <a:ext cx="1638300" cy="0"/>
                          </a:xfrm>
                          <a:prstGeom prst="line">
                            <a:avLst/>
                          </a:prstGeom>
                          <a:noFill/>
                          <a:ln w="23812">
                            <a:solidFill>
                              <a:srgbClr val="000000"/>
                            </a:solidFill>
                          </a:ln>
                        </wps:spPr>
                        <wps:bodyPr/>
                      </wps:w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wp:extent cx="0" cy="0"/>
                <wp:docPr id="0"/>
                <a:graphic>
                  <a:graphicData/>
                </a:graphic>
              </wp:inline>
            </w:drawing>
          </mc:Fallback>
        </mc:AlternateContent>
      </w:r>
    </w:p>
    <w:p w14:paraId="0742D565" w14:textId="77777777" w:rsidR="00F922A0" w:rsidRDefault="00000000" w:rsidP="004F4F78">
      <w:pPr>
        <w:spacing w:after="120" w:line="240" w:lineRule="auto"/>
      </w:pPr>
      <w:r>
        <w:t>BA (</w:t>
      </w:r>
      <w:proofErr w:type="spellStart"/>
      <w:r>
        <w:t>alphaSource</w:t>
      </w:r>
      <w:proofErr w:type="spellEnd"/>
      <w:r>
        <w:t>):</w:t>
      </w:r>
      <w:r>
        <w:rPr>
          <w:noProof/>
        </w:rPr>
        <mc:AlternateContent>
          <mc:Choice Requires="wpg">
            <w:drawing>
              <wp:inline distT="114300" distB="114300" distL="114300" distR="114300" wp14:anchorId="7A698226" wp14:editId="3CB2DAED">
                <wp:extent cx="1638300" cy="400050"/>
                <wp:effectExtent l="0" t="0" r="0" b="0"/>
                <wp:docPr id="1" name="Group 1"/>
                <wp:cNvGraphicFramePr/>
                <a:graphic xmlns:a="http://schemas.openxmlformats.org/drawingml/2006/main">
                  <a:graphicData uri="http://schemas.microsoft.com/office/word/2010/wordprocessingGroup">
                    <wpg:wgp>
                      <wpg:cNvGrpSpPr/>
                      <wpg:grpSpPr>
                        <a:xfrm>
                          <a:off x="0" y="0"/>
                          <a:ext cx="1638300" cy="400050"/>
                          <a:chOff x="0" y="0"/>
                          <a:chExt cx="1638300" cy="400050"/>
                        </a:xfrm>
                      </wpg:grpSpPr>
                      <wps:wsp>
                        <wps:cNvPr id="1304388947" name="Rectangle 1304388947"/>
                        <wps:cNvSpPr/>
                        <wps:spPr>
                          <a:xfrm>
                            <a:off x="0" y="0"/>
                            <a:ext cx="1638300" cy="400050"/>
                          </a:xfrm>
                          <a:prstGeom prst="rect">
                            <a:avLst/>
                          </a:prstGeom>
                          <a:noFill/>
                        </wps:spPr>
                        <wps:bodyPr/>
                      </wps:wsp>
                      <wps:wsp>
                        <wps:cNvPr id="865553781" name="Straight Connector 865553781"/>
                        <wps:cNvCnPr/>
                        <wps:spPr>
                          <a:xfrm>
                            <a:off x="0" y="400050"/>
                            <a:ext cx="1638300" cy="0"/>
                          </a:xfrm>
                          <a:prstGeom prst="line">
                            <a:avLst/>
                          </a:prstGeom>
                          <a:noFill/>
                          <a:ln w="23812">
                            <a:solidFill>
                              <a:srgbClr val="000000"/>
                            </a:solidFill>
                          </a:ln>
                        </wps:spPr>
                        <wps:bodyPr/>
                      </wps:w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wp:extent cx="0" cy="0"/>
                <wp:docPr id="0"/>
                <a:graphic>
                  <a:graphicData/>
                </a:graphic>
              </wp:inline>
            </w:drawing>
          </mc:Fallback>
        </mc:AlternateContent>
      </w:r>
      <w:r>
        <w:t xml:space="preserve"> Date:</w:t>
      </w:r>
      <w:r>
        <w:rPr>
          <w:noProof/>
        </w:rPr>
        <mc:AlternateContent>
          <mc:Choice Requires="wpg">
            <w:drawing>
              <wp:inline distT="114300" distB="114300" distL="114300" distR="114300" wp14:anchorId="348577F6" wp14:editId="7F57E53D">
                <wp:extent cx="1638300" cy="400050"/>
                <wp:effectExtent l="0" t="0" r="0" b="0"/>
                <wp:docPr id="3" name="Group 3"/>
                <wp:cNvGraphicFramePr/>
                <a:graphic xmlns:a="http://schemas.openxmlformats.org/drawingml/2006/main">
                  <a:graphicData uri="http://schemas.microsoft.com/office/word/2010/wordprocessingGroup">
                    <wpg:wgp>
                      <wpg:cNvGrpSpPr/>
                      <wpg:grpSpPr>
                        <a:xfrm>
                          <a:off x="0" y="0"/>
                          <a:ext cx="1638300" cy="400050"/>
                          <a:chOff x="0" y="0"/>
                          <a:chExt cx="1638300" cy="400050"/>
                        </a:xfrm>
                      </wpg:grpSpPr>
                      <wps:wsp>
                        <wps:cNvPr id="1098314364" name="Rectangle 1098314364"/>
                        <wps:cNvSpPr/>
                        <wps:spPr>
                          <a:xfrm>
                            <a:off x="0" y="0"/>
                            <a:ext cx="1638300" cy="400050"/>
                          </a:xfrm>
                          <a:prstGeom prst="rect">
                            <a:avLst/>
                          </a:prstGeom>
                          <a:noFill/>
                        </wps:spPr>
                        <wps:bodyPr/>
                      </wps:wsp>
                      <wps:wsp>
                        <wps:cNvPr id="432760496" name="Straight Connector 432760496"/>
                        <wps:cNvCnPr/>
                        <wps:spPr>
                          <a:xfrm>
                            <a:off x="0" y="400050"/>
                            <a:ext cx="1638300" cy="0"/>
                          </a:xfrm>
                          <a:prstGeom prst="line">
                            <a:avLst/>
                          </a:prstGeom>
                          <a:noFill/>
                          <a:ln w="23812">
                            <a:solidFill>
                              <a:srgbClr val="000000"/>
                            </a:solidFill>
                          </a:ln>
                        </wps:spPr>
                        <wps:bodyPr/>
                      </wps:w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wp:extent cx="0" cy="0"/>
                <wp:docPr id="0"/>
                <a:graphic>
                  <a:graphicData/>
                </a:graphic>
              </wp:inline>
            </w:drawing>
          </mc:Fallback>
        </mc:AlternateContent>
      </w:r>
    </w:p>
    <w:sectPr w:rsidR="00F922A0">
      <w:headerReference w:type="default" r:id="rId9"/>
      <w:pgSz w:w="12240" w:h="15840"/>
      <w:pgMar w:top="1440" w:right="1440" w:bottom="1440" w:left="1440" w:header="14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2F797" w14:textId="77777777" w:rsidR="006668C2" w:rsidRDefault="006668C2">
      <w:pPr>
        <w:spacing w:line="240" w:lineRule="auto"/>
      </w:pPr>
      <w:r>
        <w:separator/>
      </w:r>
    </w:p>
  </w:endnote>
  <w:endnote w:type="continuationSeparator" w:id="0">
    <w:p w14:paraId="16629F27" w14:textId="77777777" w:rsidR="006668C2" w:rsidRDefault="006668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F5A2E85-867A-A94A-A7BB-7479A85E059A}"/>
  </w:font>
  <w:font w:name="Arial">
    <w:panose1 w:val="020B0604020202020204"/>
    <w:charset w:val="00"/>
    <w:family w:val="swiss"/>
    <w:pitch w:val="variable"/>
    <w:sig w:usb0="E0002AFF" w:usb1="C0007843" w:usb2="00000009" w:usb3="00000000" w:csb0="000001FF" w:csb1="00000000"/>
    <w:embedRegular r:id="rId2" w:fontKey="{F4D73347-019B-6548-8E2F-258A7D565655}"/>
    <w:embedBold r:id="rId3" w:fontKey="{F83B339F-86C4-DF42-AB32-E02E8F5884D1}"/>
    <w:embedItalic r:id="rId4" w:fontKey="{92EFFB93-8873-9E4C-A11A-F8353FA13202}"/>
  </w:font>
  <w:font w:name="Calibri">
    <w:panose1 w:val="020F0502020204030204"/>
    <w:charset w:val="00"/>
    <w:family w:val="swiss"/>
    <w:pitch w:val="variable"/>
    <w:sig w:usb0="E4002EFF" w:usb1="C200247B" w:usb2="00000009" w:usb3="00000000" w:csb0="000001FF" w:csb1="00000000"/>
    <w:embedRegular r:id="rId5" w:fontKey="{175FCD8F-2553-284F-BBF8-C4E95CEB31AE}"/>
  </w:font>
  <w:font w:name="Cambria">
    <w:panose1 w:val="02040503050406030204"/>
    <w:charset w:val="00"/>
    <w:family w:val="roman"/>
    <w:pitch w:val="variable"/>
    <w:sig w:usb0="E00006FF" w:usb1="420024FF" w:usb2="02000000" w:usb3="00000000" w:csb0="0000019F" w:csb1="00000000"/>
    <w:embedRegular r:id="rId6" w:fontKey="{F241E3FF-6B88-F745-B031-A40F7462C66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B9278" w14:textId="77777777" w:rsidR="006668C2" w:rsidRDefault="006668C2">
      <w:pPr>
        <w:spacing w:line="240" w:lineRule="auto"/>
      </w:pPr>
      <w:r>
        <w:separator/>
      </w:r>
    </w:p>
  </w:footnote>
  <w:footnote w:type="continuationSeparator" w:id="0">
    <w:p w14:paraId="47D3DB77" w14:textId="77777777" w:rsidR="006668C2" w:rsidRDefault="006668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6F0A6" w14:textId="77777777" w:rsidR="00F922A0" w:rsidRDefault="00000000">
    <w:pPr>
      <w:spacing w:after="160" w:line="301" w:lineRule="auto"/>
      <w:jc w:val="center"/>
    </w:pPr>
    <w:r>
      <w:rPr>
        <w:b/>
        <w:bCs/>
        <w:noProof/>
        <w:sz w:val="26"/>
        <w:szCs w:val="26"/>
      </w:rPr>
      <w:drawing>
        <wp:inline distT="114300" distB="114300" distL="114300" distR="114300" wp14:anchorId="43D1C653" wp14:editId="61B233F2">
          <wp:extent cx="5908974" cy="115728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908974" cy="11572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6E26DD"/>
    <w:multiLevelType w:val="multilevel"/>
    <w:tmpl w:val="69E29B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474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2A0"/>
    <w:rsid w:val="004F4F78"/>
    <w:rsid w:val="006668C2"/>
    <w:rsid w:val="00EB62BE"/>
    <w:rsid w:val="00F92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C0B336"/>
  <w15:docId w15:val="{13B19BAA-1EE2-B243-B3E6-318FBEF2F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Signers xmlns:go="http://customooxmlschemas.google.com/" xmlns:r="http://schemas.openxmlformats.org/officeDocument/2006/relationships">
  <go:Signer>
    <go:Gdesa>{"SignerLabel":"Jason","SignerId":"esignature.hbw9ek65y909","SignerColor":"#e8f0fe","SignerIndex":"1"}</go:Gdesa>
  </go:Signer>
  <go:Signer>
    <go:Gdesa>{"SignerLabel":"Test","SignerId":"esignature.no3ays47mpjf","SignerColor":"#b8d5c2","SignerIndex":"2"}</go:Gdesa>
  </go:Signer>
</go:Signer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7vMcjt0O58+FOcJACWVo3P60ZQ==">CgMxLjA4AHIhMVY4ZFJ3ZXRVQXpzdXFmRy1MeEVadWQydzg2c0FzSzBj</go:docsCustomData>
</go:gDocsCustomXmlDataStorage>
</file>

<file path=customXml/itemProps1.xml><?xml version="1.0" encoding="utf-8"?>
<ds:datastoreItem xmlns:ds="http://schemas.openxmlformats.org/officeDocument/2006/customXml" ds:itemID="{803773BB-12E9-3D42-901A-E48B4C5B058A}">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244</Words>
  <Characters>1393</Characters>
  <Application>Microsoft Office Word</Application>
  <DocSecurity>0</DocSecurity>
  <Lines>11</Lines>
  <Paragraphs>3</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Gardner</cp:lastModifiedBy>
  <cp:revision>2</cp:revision>
  <dcterms:created xsi:type="dcterms:W3CDTF">2026-05-28T19:59:00Z</dcterms:created>
  <dcterms:modified xsi:type="dcterms:W3CDTF">2026-05-28T20:01:00Z</dcterms:modified>
</cp:coreProperties>
</file>