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438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"1-1"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_Toc8326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 继承的概念</w:t>
          </w:r>
          <w:r>
            <w:tab/>
          </w:r>
          <w:r>
            <w:fldChar w:fldCharType="begin"/>
          </w:r>
          <w:r>
            <w:instrText xml:space="preserve"> PAGEREF _Toc8326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_Toc30701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 方法的重写</w:t>
          </w:r>
          <w:r>
            <w:tab/>
          </w:r>
          <w:r>
            <w:fldChar w:fldCharType="begin"/>
          </w:r>
          <w:r>
            <w:instrText xml:space="preserve"> PAGEREF _Toc30701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_Toc10190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super的使用</w:t>
          </w:r>
          <w:r>
            <w:tab/>
          </w:r>
          <w:r>
            <w:fldChar w:fldCharType="begin"/>
          </w:r>
          <w:r>
            <w:instrText xml:space="preserve"> PAGEREF _Toc10190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numPr>
              <w:numId w:val="0"/>
            </w:numPr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  <w:bookmarkStart w:id="3" w:name="_GoBack"/>
          <w:bookmarkEnd w:id="3"/>
        </w:p>
      </w:sdtContent>
    </w:sdt>
    <w:p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bookmarkStart w:id="0" w:name="_Toc8326"/>
      <w:r>
        <w:rPr>
          <w:rFonts w:hint="eastAsia"/>
          <w:lang w:val="en-US" w:eastAsia="zh-CN"/>
        </w:rPr>
        <w:t>继承的概念</w:t>
      </w:r>
      <w:bookmarkEnd w:id="0"/>
    </w:p>
    <w:p>
      <w:pPr>
        <w:numPr>
          <w:numId w:val="0"/>
        </w:numPr>
      </w:pPr>
      <w:r>
        <w:drawing>
          <wp:inline distT="0" distB="0" distL="114300" distR="114300">
            <wp:extent cx="5267325" cy="2355215"/>
            <wp:effectExtent l="0" t="0" r="952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参考例子 ： javabase18_extends</w:t>
      </w:r>
    </w:p>
    <w:p>
      <w:pPr>
        <w:numPr>
          <w:ilvl w:val="0"/>
          <w:numId w:val="1"/>
        </w:numPr>
        <w:ind w:left="0" w:leftChars="0" w:firstLine="420" w:firstLineChars="200"/>
        <w:outlineLvl w:val="0"/>
        <w:rPr>
          <w:rFonts w:hint="eastAsia"/>
          <w:lang w:val="en-US" w:eastAsia="zh-CN"/>
        </w:rPr>
      </w:pPr>
      <w:bookmarkStart w:id="1" w:name="_Toc30701"/>
      <w:r>
        <w:rPr>
          <w:rFonts w:hint="eastAsia"/>
          <w:lang w:val="en-US" w:eastAsia="zh-CN"/>
        </w:rPr>
        <w:t>方法的重写</w:t>
      </w:r>
      <w:bookmarkEnd w:id="1"/>
    </w:p>
    <w:p>
      <w:pPr>
        <w:numPr>
          <w:numId w:val="0"/>
        </w:numPr>
      </w:pPr>
      <w:r>
        <w:drawing>
          <wp:inline distT="0" distB="0" distL="114300" distR="114300">
            <wp:extent cx="5266690" cy="1390650"/>
            <wp:effectExtent l="0" t="0" r="1016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什么是声明体什么是执行体。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31254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car:</w:t>
      </w:r>
    </w:p>
    <w:p>
      <w:pPr>
        <w:bidi w:val="0"/>
        <w:ind w:left="0" w:leftChars="0" w:firstLine="0" w:firstLineChars="0"/>
      </w:pPr>
      <w:r>
        <w:drawing>
          <wp:inline distT="0" distB="0" distL="114300" distR="114300">
            <wp:extent cx="5264785" cy="1149985"/>
            <wp:effectExtent l="0" t="0" r="1206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BMW:</w:t>
      </w:r>
    </w:p>
    <w:p>
      <w:pPr>
        <w:bidi w:val="0"/>
        <w:ind w:left="0" w:leftChars="0" w:firstLine="0" w:firstLineChars="0"/>
      </w:pPr>
      <w:r>
        <w:drawing>
          <wp:inline distT="0" distB="0" distL="114300" distR="114300">
            <wp:extent cx="5266690" cy="1517650"/>
            <wp:effectExtent l="0" t="0" r="1016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</w:t>
      </w: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214120"/>
            <wp:effectExtent l="0" t="0" r="825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420" w:firstLineChars="200"/>
        <w:outlineLvl w:val="0"/>
        <w:rPr>
          <w:rFonts w:hint="default"/>
          <w:lang w:val="en-US" w:eastAsia="zh-CN"/>
        </w:rPr>
      </w:pPr>
      <w:bookmarkStart w:id="2" w:name="_Toc10190"/>
      <w:r>
        <w:rPr>
          <w:rFonts w:hint="eastAsia"/>
          <w:lang w:val="en-US" w:eastAsia="zh-CN"/>
        </w:rPr>
        <w:t>super的使用</w:t>
      </w:r>
      <w:bookmarkEnd w:id="2"/>
    </w:p>
    <w:p>
      <w:pPr>
        <w:numPr>
          <w:numId w:val="0"/>
        </w:numPr>
      </w:pPr>
      <w:r>
        <w:drawing>
          <wp:inline distT="0" distB="0" distL="114300" distR="114300">
            <wp:extent cx="5269230" cy="901065"/>
            <wp:effectExtent l="0" t="0" r="762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super是用来代替父类的。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在重写父类的公有属性时代替父类</w:t>
      </w:r>
    </w:p>
    <w:p>
      <w:pPr>
        <w:bidi w:val="0"/>
      </w:pPr>
      <w:r>
        <w:drawing>
          <wp:inline distT="0" distB="0" distL="114300" distR="114300">
            <wp:extent cx="5271135" cy="2092960"/>
            <wp:effectExtent l="0" t="0" r="571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还有一种情况就是子类继承父类时使用到super。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子类继承父类时子类至少依赖父类其中一个构造方法</w:t>
      </w:r>
      <w:r>
        <w:rPr>
          <w:rFonts w:hint="eastAsia"/>
          <w:lang w:val="en-US" w:eastAsia="zh-CN"/>
        </w:rPr>
        <w:t>。</w:t>
      </w:r>
    </w:p>
    <w:p>
      <w:pPr>
        <w:bidi w:val="0"/>
      </w:pPr>
      <w:r>
        <w:drawing>
          <wp:inline distT="0" distB="0" distL="114300" distR="114300">
            <wp:extent cx="5271135" cy="1388110"/>
            <wp:effectExtent l="0" t="0" r="571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272405" cy="2009140"/>
            <wp:effectExtent l="0" t="0" r="444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</w:pPr>
    </w:p>
    <w:p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023620"/>
            <wp:effectExtent l="0" t="0" r="698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7B4CB"/>
    <w:multiLevelType w:val="singleLevel"/>
    <w:tmpl w:val="3DF7B4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D6958"/>
    <w:rsid w:val="01E03500"/>
    <w:rsid w:val="03D41D34"/>
    <w:rsid w:val="063A08DF"/>
    <w:rsid w:val="07FC11E4"/>
    <w:rsid w:val="0800604E"/>
    <w:rsid w:val="0AA80B3F"/>
    <w:rsid w:val="0CF9056E"/>
    <w:rsid w:val="0D463080"/>
    <w:rsid w:val="0EF00026"/>
    <w:rsid w:val="0FD16A0C"/>
    <w:rsid w:val="0FE65D3D"/>
    <w:rsid w:val="10A700F8"/>
    <w:rsid w:val="10B76229"/>
    <w:rsid w:val="11C72528"/>
    <w:rsid w:val="13BD5FB6"/>
    <w:rsid w:val="13C23DD8"/>
    <w:rsid w:val="14246118"/>
    <w:rsid w:val="145E1CE8"/>
    <w:rsid w:val="15753001"/>
    <w:rsid w:val="15F25DA4"/>
    <w:rsid w:val="1C2041CE"/>
    <w:rsid w:val="225957B8"/>
    <w:rsid w:val="23CB0A0B"/>
    <w:rsid w:val="2CD2589A"/>
    <w:rsid w:val="2D2311B4"/>
    <w:rsid w:val="2E1A1AB6"/>
    <w:rsid w:val="30897E71"/>
    <w:rsid w:val="30A40233"/>
    <w:rsid w:val="31474A9F"/>
    <w:rsid w:val="31F07168"/>
    <w:rsid w:val="3245468C"/>
    <w:rsid w:val="34452B88"/>
    <w:rsid w:val="346B4323"/>
    <w:rsid w:val="35504698"/>
    <w:rsid w:val="35FC4F2C"/>
    <w:rsid w:val="384E7A1A"/>
    <w:rsid w:val="3B945C2F"/>
    <w:rsid w:val="3CAA1630"/>
    <w:rsid w:val="3F7A774F"/>
    <w:rsid w:val="40432B7E"/>
    <w:rsid w:val="419F5B76"/>
    <w:rsid w:val="44125791"/>
    <w:rsid w:val="45252714"/>
    <w:rsid w:val="459D4B27"/>
    <w:rsid w:val="47D6254A"/>
    <w:rsid w:val="47ED1A64"/>
    <w:rsid w:val="480421B3"/>
    <w:rsid w:val="4C6E6AE9"/>
    <w:rsid w:val="4FE46332"/>
    <w:rsid w:val="51BD3D12"/>
    <w:rsid w:val="56DC5CA6"/>
    <w:rsid w:val="570004CA"/>
    <w:rsid w:val="59802C5A"/>
    <w:rsid w:val="5BE33464"/>
    <w:rsid w:val="5ED8629A"/>
    <w:rsid w:val="642A60ED"/>
    <w:rsid w:val="64BD3C48"/>
    <w:rsid w:val="655673A5"/>
    <w:rsid w:val="68EE5388"/>
    <w:rsid w:val="6A4B67EE"/>
    <w:rsid w:val="6CDD69AA"/>
    <w:rsid w:val="6CE53CDF"/>
    <w:rsid w:val="6D4011F0"/>
    <w:rsid w:val="6D9621CF"/>
    <w:rsid w:val="6DB45087"/>
    <w:rsid w:val="6E093EC6"/>
    <w:rsid w:val="709E298B"/>
    <w:rsid w:val="72844615"/>
    <w:rsid w:val="77442A41"/>
    <w:rsid w:val="77676BBD"/>
    <w:rsid w:val="781E4E57"/>
    <w:rsid w:val="78E45BCD"/>
    <w:rsid w:val="7B313199"/>
    <w:rsid w:val="7D281357"/>
    <w:rsid w:val="7EA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2020-09-15T03:51:15Z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