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8"/>
          <w:szCs w:val="28"/>
          <w:b/>
        </w:rPr>
        <w:t xml:space="preserve">CERTIFICATE No: </w:t>
      </w:r>
      <w:r>
        <w:rPr>
          <w:sz w:val="28"/>
          <w:szCs w:val="28"/>
          <w:u w:val="single"/>
        </w:rPr>
        <w:t xml:space="preserve">CAN/2016-2017/248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TRIXONE 1 g INJECTION IM/IV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NDQA201509322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29-09-2016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vial contains: Sterile Ceftriaxone Sodium USP equivalent to anhydrous Ceftriaxone 1 gm.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Powder: C765Diluent: 211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Cream coloured, free flowing powder for intramuscular and intravenous administration, contained in a clear colourless glass vial fitted with a grey rubber closure, aluminum band and a white plastic flip off cap, along with  sterile water for injection  in a 10  mL clear colourless plastic ampoule in a unit box.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MFG. DATE:</w:t>
            </w:r>
            <w:br/>
            <w:r>
              <w:rPr>
                <w:sz w:val="18"/>
                <w:szCs w:val="18"/>
              </w:rPr>
              <w:t xml:space="preserve">Powder: Jul. 2014Diluent: Apr.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Powder: FLAMINGO Pharmaceuticals Ltd.
Diluent: VIFOR Pharma PVt Ltd.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Powder: Jun.2017 Diluent: Mar.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Powder: Rabale, Navi Mumbai 400 701,
Diluent:Ksez Kandla,
INDIA.
</w:t>
            </w:r>
          </w:p>
        </w:tc>
      </w:tr>
      <w:tr>
        <w:trPr>
          <w:trHeight w:val="5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Board, P. O. Box 27663 - 00506 Nairobi, KENYA. 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CFT/10/09.3.2015/00006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Sterility,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 vials deviate by more than 10% from the mean vial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6.0 - 8.0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6.7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Membrane Filtration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Vol. V 2016 Appendix XVI 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Powder &amp; Diluent
No microbial growth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Powder &amp; Diluent
No microbial growth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 the sample preparation corresponds to that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3.2 -/+ 10%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5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2705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112.7%
(RSD = 0.4%;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of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F.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MR. M. SANGALE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18-07-2016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27-07-2016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2016-11-16T09:13:31+01:00</dcterms:created>
  <dcterms:modified xsi:type="dcterms:W3CDTF">2016-11-16T09:13:31+01:00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