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6"/>
          <w:szCs w:val="26"/>
          <w:b/>
        </w:rPr>
        <w:t xml:space="preserve">CERTIFICATE No: </w:t>
      </w:r>
      <w:r>
        <w:rPr>
          <w:sz w:val="26"/>
          <w:szCs w:val="26"/>
          <w:u w:val="single"/>
        </w:rPr>
        <w:t xml:space="preserve">CAN/2015-16/492</w:t>
      </w:r>
    </w:p>
    <w:tbl>
      <w:tblGrid>
        <w:gridCol w:w="2100" w:type="dxa"/>
        <w:gridCol w:w="6000" w:type="dxa"/>
        <w:gridCol w:w="3000" w:type="dxa"/>
      </w:tblGrid>
      <w:tblPr>
        <w:jc w:val="center"/>
        <w:tblW w:w="6642.25" w:type="pct"/>
      </w:tblPr>
      <w:tr>
        <w:trPr/>
        <w:tc>
          <w:tcPr>
            <w:tcW w:w="2100" w:type="dxa"/>
            <w:shd w:val="clear" w:color="" w:fill="D9D9D9"/>
          </w:tcPr>
          <w:p>
            <w:pPr/>
            <w:r>
              <w:rPr>
                <w:sz w:val="22"/>
                <w:szCs w:val="22"/>
                <w:b/>
              </w:rPr>
              <w:t xml:space="preserve">PRODUCT</w:t>
            </w:r>
          </w:p>
        </w:tc>
        <w:tc>
          <w:tcPr>
            <w:tcW w:w="6000" w:type="dxa"/>
            <w:shd w:val="clear" w:color="" w:fill="D9D9D9"/>
            <w:gridSpan w:val="2"/>
          </w:tcPr>
          <w:p>
            <w:pPr/>
            <w:r>
              <w:rPr/>
              <w:t xml:space="preserve">CETIRIZINE TABLETS I.P.</w:t>
            </w:r>
          </w:p>
        </w:tc>
        <w:tc>
          <w:tcPr>
            <w:tcW w:w="3000" w:type="dxa"/>
            <w:shd w:val="clear" w:color="" w:fill="D9D9D9"/>
          </w:tcPr>
          <w:p>
            <w:pPr/>
            <w:r>
              <w:rPr/>
              <w:t xml:space="preserve">REF. NO: NDQA201509404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DATE RECEIVED:</w:t>
            </w:r>
            <w:br/>
            <w:r>
              <w:rPr/>
              <w:t xml:space="preserve">30.09.2015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Each film coated tablet contains: Cetirizine Hydrochloride I.P. 10 mg.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BATCH NO.:</w:t>
            </w:r>
            <w:br/>
            <w:r>
              <w:rPr/>
              <w:t xml:space="preserve">LT41227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Off white coloured, caplet shaped, biconvex faced tablets, single scored  on one  face plain on the other, packed in a blister strip of 70 tablets and 10 such strips in a unit box.
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MGF. DATE:</w:t>
            </w:r>
            <w:br/>
            <w:r>
              <w:rPr/>
              <w:t xml:space="preserve">Mar.2015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OMEGA  Biotech Ltd.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EXP. DATE:</w:t>
            </w:r>
            <w:br/>
            <w:r>
              <w:rPr/>
              <w:t xml:space="preserve">   Aug.2017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7th Mile Stone, Dehradun Road,
Roorkee-247667, (Uttarakhand),
INDIA.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CLIENT REF NO: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Pharmacy and Poisons Board P.O. Box 27663-00506 Nairobi, KENYA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22"/>
                <w:szCs w:val="22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Uniformity of Weight, Identification, Dissolution, Assay</w:t>
            </w:r>
          </w:p>
        </w:tc>
      </w:tr>
    </w:tbl>
    <w:p/>
    <w:p>
      <w:pPr>
        <w:jc w:val="center"/>
      </w:pPr>
      <w:r>
        <w:rPr>
          <w:sz w:val="20"/>
          <w:szCs w:val="20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640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1200" w:type="dxa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Weight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BP 2016 Vol. V
 App. XII C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NMT 2 tablets deviate by more than 7.5% from mean tablet weight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None Deviates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
  Page 2731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RT of the major peak
 in  the assay  sample preparation corresponds to that in the assay standard preparation
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Super-imposable peak at RT 7.8 -/+ 10% min. present in both the assay sample and standard preparations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
  Page 2731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Average NLT 80% and no single tablet is less than 65%
(n=12)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 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DOES NOT COMPLY:DOES NOT COMPLY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
  Page 2731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Average NLT 80% and no single tablet is less than 65%
(n=12)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 
48.6%
 (RSD=21.2%; n=12)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DOES NOT COMPLY:DOES NOT COMPLY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
  Page 2731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90.0 % - 110.0%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94.6%
 (RSD=1.4%; n=9)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hd w:val="clear" w:color="" w:fill="D9D9D9"/>
        </w:rPr>
        <w:t xml:space="preserve">The product complies with the specifications for the tests performed.</w:t>
      </w:r>
    </w:p>
    <w:tbl>
      <w:tblGrid>
        <w:gridCol w:w="1500" w:type="dxa"/>
        <w:gridCol w:w="3000" w:type="dxa"/>
        <w:gridCol w:w="2500" w:type="dxa"/>
        <w:gridCol w:w="2500" w:type="dxa"/>
      </w:tblGrid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DIRECTOR:</w:t>
            </w:r>
          </w:p>
        </w:tc>
        <w:tc>
          <w:tcPr>
            <w:tcW w:w="3000" w:type="dxa"/>
          </w:tcPr>
          <w:p>
            <w:pPr/>
            <w:r>
              <w:rPr/>
              <w:t xml:space="preserve">HEZEKIAH CHEPKWONY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DATE:04-12-2016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2016-04-14T13:55:29+02:00</dcterms:created>
  <dcterms:modified xsi:type="dcterms:W3CDTF">2016-04-14T13:55:29+02:00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