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sz w:val="36"/>
          <w:szCs w:val="36"/>
          <w:b/>
        </w:rPr>
        <w:t xml:space="preserve">CERTIFICATE OF ANALYSIS</w:t>
      </w:r>
    </w:p>
    <w:p>
      <w:pPr>
        <w:jc w:val="center"/>
      </w:pPr>
      <w:r>
        <w:rPr>
          <w:sz w:val="26"/>
          <w:szCs w:val="26"/>
          <w:b/>
        </w:rPr>
        <w:t xml:space="preserve">CERTIFICATE No: </w:t>
      </w:r>
      <w:r>
        <w:rPr>
          <w:sz w:val="26"/>
          <w:szCs w:val="26"/>
          <w:u w:val="single"/>
        </w:rPr>
        <w:t xml:space="preserve">CAN/2015-16/404</w:t>
      </w:r>
    </w:p>
    <w:tbl>
      <w:tblGrid>
        <w:gridCol w:w="2100" w:type="dxa"/>
        <w:gridCol w:w="6000" w:type="dxa"/>
        <w:gridCol w:w="3000" w:type="dxa"/>
      </w:tblGrid>
      <w:tblPr>
        <w:jc w:val="center"/>
        <w:tblW w:w="6642.25" w:type="pct"/>
      </w:tblPr>
      <w:tr>
        <w:trPr/>
        <w:tc>
          <w:tcPr>
            <w:tcW w:w="2100" w:type="dxa"/>
            <w:shd w:val="clear" w:color="" w:fill="D9D9D9"/>
          </w:tcPr>
          <w:p>
            <w:pPr/>
            <w:r>
              <w:rPr>
                <w:sz w:val="22"/>
                <w:szCs w:val="22"/>
                <w:b/>
              </w:rPr>
              <w:t xml:space="preserve">PRODUCT</w:t>
            </w:r>
          </w:p>
        </w:tc>
        <w:tc>
          <w:tcPr>
            <w:tcW w:w="6000" w:type="dxa"/>
            <w:shd w:val="clear" w:color="" w:fill="D9D9D9"/>
            <w:gridSpan w:val="2"/>
          </w:tcPr>
          <w:p>
            <w:pPr/>
            <w:r>
              <w:rPr/>
              <w:t xml:space="preserve">NEVIRAPINE TABLETS USP 200 mg </w:t>
            </w:r>
          </w:p>
        </w:tc>
        <w:tc>
          <w:tcPr>
            <w:tcW w:w="3000" w:type="dxa"/>
            <w:shd w:val="clear" w:color="" w:fill="D9D9D9"/>
          </w:tcPr>
          <w:p>
            <w:pPr/>
            <w:r>
              <w:rPr/>
              <w:t xml:space="preserve">REF. NO: NDQB201601704</w:t>
            </w:r>
          </w:p>
        </w:tc>
      </w:tr>
      <w:tr>
        <w:trPr/>
        <w:tc>
          <w:tcPr>
            <w:tcW w:w="2100" w:type="dxa"/>
            <w:shd w:val="clear" w:color="" w:fill="C0C0C0"/>
          </w:tcPr>
          <w:p>
            <w:pPr>
              <w:jc w:val="center"/>
            </w:pPr>
            <w:r>
              <w:rPr>
                <w:sz w:val="22"/>
                <w:szCs w:val="22"/>
                <w:b/>
              </w:rPr>
              <w:t xml:space="preserve">DATE RECEIVED:</w:t>
            </w:r>
            <w:br/>
            <w:r>
              <w:rPr/>
              <w:t xml:space="preserve">26.01.2016</w:t>
            </w:r>
          </w:p>
        </w:tc>
        <w:tc>
          <w:tcPr>
            <w:tcW w:w="2500" w:type="dxa"/>
          </w:tcPr>
          <w:p>
            <w:pPr/>
            <w:r>
              <w:rPr>
                <w:sz w:val="22"/>
                <w:szCs w:val="22"/>
                <w:b/>
              </w:rPr>
              <w:t xml:space="preserve">LABEL CLAIM:  </w:t>
            </w:r>
          </w:p>
        </w:tc>
        <w:tc>
          <w:tcPr>
            <w:tcW w:w="5000" w:type="dxa"/>
            <w:gridSpan w:val="2"/>
          </w:tcPr>
          <w:p>
            <w:pPr/>
            <w:r>
              <w:rPr/>
              <w:t xml:space="preserve">Each tablet contains 200 mg of Nevirapine USP.</w:t>
            </w:r>
          </w:p>
        </w:tc>
      </w:tr>
      <w:tr>
        <w:trPr/>
        <w:tc>
          <w:tcPr>
            <w:tcW w:w="2100" w:type="dxa"/>
            <w:shd w:val="clear" w:color="" w:fill="C0C0C0"/>
          </w:tcPr>
          <w:p>
            <w:pPr>
              <w:jc w:val="center"/>
            </w:pPr>
            <w:r>
              <w:rPr>
                <w:sz w:val="22"/>
                <w:szCs w:val="22"/>
                <w:b/>
              </w:rPr>
              <w:t xml:space="preserve">BATCH NO.:</w:t>
            </w:r>
            <w:br/>
            <w:r>
              <w:rPr/>
              <w:t xml:space="preserve">E140583</w:t>
            </w:r>
          </w:p>
        </w:tc>
        <w:tc>
          <w:tcPr>
            <w:tcW w:w="2500" w:type="dxa"/>
          </w:tcPr>
          <w:p>
            <w:pPr/>
            <w:r>
              <w:rPr>
                <w:sz w:val="22"/>
                <w:szCs w:val="22"/>
                <w:b/>
              </w:rPr>
              <w:t xml:space="preserve">PRESENTATION:  </w:t>
            </w:r>
          </w:p>
        </w:tc>
        <w:tc>
          <w:tcPr>
            <w:tcW w:w="5000" w:type="dxa"/>
            <w:gridSpan w:val="2"/>
          </w:tcPr>
          <w:p>
            <w:pPr/>
            <w:r>
              <w:rPr/>
              <w:t xml:space="preserve">Off white coloured, caplet shaped, biconvex faced tablets, single scored on both faces and embossed 'H' on one face and '7' on the opposite face on either side of the score, packed in a white plastic multi-dose container carrying 60 tablets in a unit box.</w:t>
            </w:r>
          </w:p>
        </w:tc>
      </w:tr>
      <w:tr>
        <w:trPr/>
        <w:tc>
          <w:tcPr>
            <w:tcW w:w="2100" w:type="dxa"/>
            <w:shd w:val="clear" w:color="" w:fill="C0C0C0"/>
          </w:tcPr>
          <w:p>
            <w:pPr>
              <w:jc w:val="center"/>
            </w:pPr>
            <w:r>
              <w:rPr>
                <w:sz w:val="22"/>
                <w:szCs w:val="22"/>
                <w:b/>
              </w:rPr>
              <w:t xml:space="preserve">MGF. DATE:</w:t>
            </w:r>
            <w:br/>
            <w:r>
              <w:rPr/>
              <w:t xml:space="preserve">Mar. 2014</w:t>
            </w:r>
          </w:p>
        </w:tc>
        <w:tc>
          <w:tcPr>
            <w:tcW w:w="2500" w:type="dxa"/>
          </w:tcPr>
          <w:p>
            <w:pPr/>
            <w:r>
              <w:rPr>
                <w:sz w:val="22"/>
                <w:szCs w:val="22"/>
                <w:b/>
              </w:rPr>
              <w:t xml:space="preserve">MANUFACTURER:  </w:t>
            </w:r>
          </w:p>
        </w:tc>
        <w:tc>
          <w:tcPr>
            <w:tcW w:w="5000" w:type="dxa"/>
            <w:gridSpan w:val="2"/>
          </w:tcPr>
          <w:p>
            <w:pPr/>
            <w:r>
              <w:rPr/>
              <w:t xml:space="preserve">HETERO Labs Ltd</w:t>
            </w:r>
          </w:p>
        </w:tc>
      </w:tr>
      <w:tr>
        <w:trPr/>
        <w:tc>
          <w:tcPr>
            <w:tcW w:w="2100" w:type="dxa"/>
            <w:shd w:val="clear" w:color="" w:fill="C0C0C0"/>
          </w:tcPr>
          <w:p>
            <w:pPr>
              <w:jc w:val="center"/>
            </w:pPr>
            <w:r>
              <w:rPr>
                <w:sz w:val="22"/>
                <w:szCs w:val="22"/>
                <w:b/>
              </w:rPr>
              <w:t xml:space="preserve">EXP. DATE:</w:t>
            </w:r>
            <w:br/>
            <w:r>
              <w:rPr/>
              <w:t xml:space="preserve">      Feb. 2018</w:t>
            </w:r>
          </w:p>
        </w:tc>
        <w:tc>
          <w:tcPr>
            <w:tcW w:w="2500" w:type="dxa"/>
          </w:tcPr>
          <w:p>
            <w:pPr/>
            <w:r>
              <w:rPr>
                <w:sz w:val="22"/>
                <w:szCs w:val="22"/>
                <w:b/>
              </w:rPr>
              <w:t xml:space="preserve">ADDRESS:  </w:t>
            </w:r>
          </w:p>
        </w:tc>
        <w:tc>
          <w:tcPr>
            <w:tcW w:w="5000" w:type="dxa"/>
            <w:gridSpan w:val="2"/>
          </w:tcPr>
          <w:p>
            <w:pPr/>
            <w:r>
              <w:rPr/>
              <w:t xml:space="preserve">22-110, I.D.A., Jeedimetla,
Hyderabad - 500 055,
INDIA.</w:t>
            </w:r>
          </w:p>
        </w:tc>
      </w:tr>
      <w:tr>
        <w:trPr/>
        <w:tc>
          <w:tcPr>
            <w:tcW w:w="2100" w:type="dxa"/>
            <w:shd w:val="clear" w:color="" w:fill="C0C0C0"/>
          </w:tcPr>
          <w:p>
            <w:pPr>
              <w:jc w:val="center"/>
            </w:pPr>
            <w:r>
              <w:rPr>
                <w:sz w:val="22"/>
                <w:szCs w:val="22"/>
                <w:b/>
              </w:rPr>
              <w:t xml:space="preserve">CLIENT REF NO:</w:t>
            </w:r>
          </w:p>
        </w:tc>
        <w:tc>
          <w:tcPr>
            <w:tcW w:w="2500" w:type="dxa"/>
          </w:tcPr>
          <w:p>
            <w:pPr/>
            <w:r>
              <w:rPr>
                <w:sz w:val="22"/>
                <w:szCs w:val="22"/>
                <w:b/>
              </w:rPr>
              <w:t xml:space="preserve">CLIENT:  </w:t>
            </w:r>
          </w:p>
        </w:tc>
        <w:tc>
          <w:tcPr>
            <w:tcW w:w="5000" w:type="dxa"/>
            <w:gridSpan w:val="2"/>
          </w:tcPr>
          <w:p>
            <w:pPr/>
            <w:r>
              <w:rPr/>
              <w:t xml:space="preserve">Kenya Medical Supplies Authority, P.O. Box 47715 - 00100, Nairobi, KENYA</w:t>
            </w:r>
          </w:p>
        </w:tc>
      </w:tr>
      <w:tr>
        <w:trPr/>
        <w:tc>
          <w:tcPr>
            <w:tcW w:w="2100" w:type="dxa"/>
            <w:shd w:val="clear" w:color="" w:fill="C0C0C0"/>
          </w:tcPr>
          <w:p>
            <w:pPr>
              <w:jc w:val="center"/>
            </w:pPr>
            <w:r>
              <w:rPr/>
              <w:t xml:space="preserve"/>
            </w:r>
          </w:p>
        </w:tc>
        <w:tc>
          <w:tcPr>
            <w:tcW w:w="2100" w:type="dxa"/>
          </w:tcPr>
          <w:p>
            <w:pPr/>
            <w:r>
              <w:rPr>
                <w:sz w:val="22"/>
                <w:szCs w:val="22"/>
                <w:b/>
              </w:rPr>
              <w:t xml:space="preserve">TEST(S) REQUESTED:  </w:t>
            </w:r>
          </w:p>
        </w:tc>
        <w:tc>
          <w:tcPr>
            <w:tcW w:w="5000" w:type="dxa"/>
            <w:gridSpan w:val="2"/>
          </w:tcPr>
          <w:p>
            <w:pPr/>
            <w:r>
              <w:rPr/>
              <w:t xml:space="preserve">Uniformity of Weight, Identification, Dissolution, Assay</w:t>
            </w:r>
          </w:p>
        </w:tc>
      </w:tr>
    </w:tbl>
    <w:p/>
    <w:p>
      <w:pPr>
        <w:jc w:val="center"/>
      </w:pPr>
      <w:r>
        <w:rPr>
          <w:sz w:val="20"/>
          <w:szCs w:val="20"/>
          <w:b/>
        </w:rPr>
        <w:t xml:space="preserve">RESULTS</w:t>
      </w:r>
    </w:p>
    <w:p/>
    <w:tbl>
      <w:tblGrid>
        <w:gridCol w:w="1200" w:type="dxa"/>
        <w:gridCol w:w="1200" w:type="dxa"/>
        <w:gridCol w:w="1400" w:type="dxa"/>
        <w:gridCol w:w="2600" w:type="dxa"/>
        <w:gridCol w:w="2000" w:type="dxa"/>
        <w:gridCol w:w="800" w:type="dxa"/>
      </w:tblGrid>
      <w:tblPr>
        <w:jc w:val="center"/>
        <w:tblW w:w="6400" w:type="pct"/>
        <w:tblBorders>
          <w:top w:val="single" w:sz="1" w:color="000000"/>
          <w:left w:val="single" w:sz="1" w:color="000000"/>
          <w:right w:val="single" w:sz="1" w:color="000000"/>
          <w:bottom w:val="single" w:sz="1" w:color="000000"/>
          <w:insideH w:val="single" w:sz="1" w:color="000000"/>
          <w:insideV w:val="single" w:sz="1" w:color="000000"/>
        </w:tblBorders>
      </w:tblPr>
      <w:tr>
        <w:trPr/>
        <w:tc>
          <w:tcPr>
            <w:tcW w:w="1200" w:type="dxa"/>
            <w:shd w:val="clear" w:color="" w:fill="CCCCCC"/>
          </w:tcPr>
          <w:p>
            <w:pPr>
              <w:pStyle w:val="pStyle"/>
            </w:pPr>
            <w:r>
              <w:rPr>
                <w:rFonts w:ascii="Book Antiqua" w:hAnsi="Book Antiqua" w:eastAsia="Book Antiqua" w:cs="Book Antiqua"/>
                <w:sz w:val="18"/>
                <w:szCs w:val="18"/>
                <w:b/>
              </w:rPr>
              <w:t xml:space="preserve">TEST</w:t>
            </w:r>
          </w:p>
        </w:tc>
        <w:tc>
          <w:tcPr>
            <w:tcW w:w="1200" w:type="dxa"/>
          </w:tcPr>
          <w:p>
            <w:pPr>
              <w:pStyle w:val="pStyle"/>
            </w:pPr>
            <w:r>
              <w:rPr>
                <w:rFonts w:ascii="Book Antiqua" w:hAnsi="Book Antiqua" w:eastAsia="Book Antiqua" w:cs="Book Antiqua"/>
                <w:sz w:val="18"/>
                <w:szCs w:val="18"/>
                <w:b/>
              </w:rPr>
              <w:t xml:space="preserve">METHOD</w:t>
            </w:r>
          </w:p>
        </w:tc>
        <w:tc>
          <w:tcPr>
            <w:tcW w:w="1400" w:type="dxa"/>
          </w:tcPr>
          <w:p>
            <w:pPr>
              <w:pStyle w:val="pStyle"/>
            </w:pPr>
            <w:r>
              <w:rPr>
                <w:rFonts w:ascii="Book Antiqua" w:hAnsi="Book Antiqua" w:eastAsia="Book Antiqua" w:cs="Book Antiqua"/>
                <w:sz w:val="18"/>
                <w:szCs w:val="18"/>
                <w:b/>
              </w:rPr>
              <w:t xml:space="preserve">COMPEDIA</w:t>
            </w:r>
          </w:p>
        </w:tc>
        <w:tc>
          <w:tcPr>
            <w:tcW w:w="2600" w:type="dxa"/>
          </w:tcPr>
          <w:p>
            <w:pPr>
              <w:pStyle w:val="pStyle"/>
            </w:pPr>
            <w:r>
              <w:rPr>
                <w:rFonts w:ascii="Book Antiqua" w:hAnsi="Book Antiqua" w:eastAsia="Book Antiqua" w:cs="Book Antiqua"/>
                <w:sz w:val="18"/>
                <w:szCs w:val="18"/>
                <w:b/>
              </w:rPr>
              <w:t xml:space="preserve">SPECIFICATION</w:t>
            </w:r>
          </w:p>
        </w:tc>
        <w:tc>
          <w:tcPr>
            <w:tcW w:w="2000" w:type="dxa"/>
          </w:tcPr>
          <w:p>
            <w:pPr>
              <w:pStyle w:val="pStyle"/>
            </w:pPr>
            <w:r>
              <w:rPr>
                <w:rFonts w:ascii="Book Antiqua" w:hAnsi="Book Antiqua" w:eastAsia="Book Antiqua" w:cs="Book Antiqua"/>
                <w:sz w:val="18"/>
                <w:szCs w:val="18"/>
                <w:b/>
              </w:rPr>
              <w:t xml:space="preserve">DETERMINED</w:t>
            </w:r>
          </w:p>
        </w:tc>
        <w:tc>
          <w:tcPr>
            <w:tcW w:w="800" w:type="dxa"/>
            <w:shd w:val="clear" w:color="" w:fill="D9D9D9"/>
          </w:tcPr>
          <w:p>
            <w:pPr>
              <w:pStyle w:val="pStyle"/>
            </w:pPr>
            <w:r>
              <w:rPr>
                <w:rFonts w:ascii="Book Antiqua" w:hAnsi="Book Antiqua" w:eastAsia="Book Antiqua" w:cs="Book Antiqua"/>
                <w:sz w:val="18"/>
                <w:szCs w:val="18"/>
                <w:b/>
              </w:rPr>
              <w:t xml:space="preserve">REMARKS</w:t>
            </w:r>
          </w:p>
        </w:tc>
      </w:tr>
      <w:tr>
        <w:trPr/>
        <w:tc>
          <w:tcPr>
            <w:tcW w:w="1200" w:type="dxa"/>
            <w:shd w:val="clear" w:color="" w:fill="dbdbdb"/>
          </w:tcPr>
          <w:p>
            <w:pPr>
              <w:pStyle w:val="pStyle"/>
            </w:pPr>
            <w:r>
              <w:rPr>
                <w:b/>
              </w:rPr>
              <w:t xml:space="preserve">Uniformity of Weight</w:t>
            </w:r>
          </w:p>
        </w:tc>
        <w:tc>
          <w:tcPr>
            <w:tcW w:w="1200" w:type="dxa"/>
          </w:tcPr>
          <w:p>
            <w:pPr>
              <w:pStyle w:val="pStyle"/>
            </w:pPr>
            <w:r>
              <w:rPr/>
              <w:t xml:space="preserve">Weight</w:t>
            </w:r>
          </w:p>
        </w:tc>
        <w:tc>
          <w:tcPr>
            <w:tcW w:w="1400" w:type="dxa"/>
          </w:tcPr>
          <w:p>
            <w:pPr>
              <w:pStyle w:val="pStyle"/>
            </w:pPr>
            <w:r>
              <w:rPr/>
              <w:t xml:space="preserve">BP 2016 Vol. V 
App XII C</w:t>
            </w:r>
          </w:p>
        </w:tc>
        <w:tc>
          <w:tcPr>
            <w:tcW w:w="2600" w:type="dxa"/>
          </w:tcPr>
          <w:p>
            <w:pPr>
              <w:pStyle w:val="pStyle"/>
            </w:pPr>
            <w:r>
              <w:rPr/>
              <w:t xml:space="preserve">NMT 2 tablets deviate by more than 5% from mean tablet weight</w:t>
            </w:r>
          </w:p>
        </w:tc>
        <w:tc>
          <w:tcPr>
            <w:tcW w:w="2000" w:type="dxa"/>
          </w:tcPr>
          <w:p>
            <w:pPr>
              <w:pStyle w:val="pStyle"/>
            </w:pPr>
            <w:r>
              <w:rPr/>
              <w:t xml:space="preserve">None Deviates</w:t>
            </w:r>
          </w:p>
        </w:tc>
        <w:tc>
          <w:tcPr>
            <w:tcW w:w="800" w:type="dxa"/>
            <w:shd w:val="clear" w:color="" w:fill="dbdbdb"/>
          </w:tcPr>
          <w:p>
            <w:pPr>
              <w:pStyle w:val="pStyle"/>
            </w:pPr>
            <w:r>
              <w:rPr>
                <w:b/>
              </w:rPr>
              <w:t xml:space="preserve">COMPLIES</w:t>
            </w:r>
          </w:p>
        </w:tc>
      </w:tr>
      <w:tr>
        <w:trPr/>
        <w:tc>
          <w:tcPr>
            <w:tcW w:w="1200" w:type="dxa"/>
            <w:shd w:val="clear" w:color="" w:fill="dbdbdb"/>
          </w:tcPr>
          <w:p>
            <w:pPr>
              <w:pStyle w:val="pStyle"/>
            </w:pPr>
            <w:r>
              <w:rPr>
                <w:b/>
              </w:rPr>
              <w:t xml:space="preserve">Identification</w:t>
            </w:r>
          </w:p>
        </w:tc>
        <w:tc>
          <w:tcPr>
            <w:tcW w:w="1200" w:type="dxa"/>
          </w:tcPr>
          <w:p>
            <w:pPr>
              <w:pStyle w:val="pStyle"/>
            </w:pPr>
            <w:r>
              <w:rPr/>
              <w:t xml:space="preserve">HPLC</w:t>
            </w:r>
          </w:p>
        </w:tc>
        <w:tc>
          <w:tcPr>
            <w:tcW w:w="1400" w:type="dxa"/>
          </w:tcPr>
          <w:p>
            <w:pPr>
              <w:pStyle w:val="pStyle"/>
            </w:pPr>
            <w:r>
              <w:rPr/>
              <w:t xml:space="preserve">USP 38 NF 33 
Page 4540</w:t>
            </w:r>
          </w:p>
        </w:tc>
        <w:tc>
          <w:tcPr>
            <w:tcW w:w="2600" w:type="dxa"/>
          </w:tcPr>
          <w:p>
            <w:pPr>
              <w:pStyle w:val="pStyle"/>
            </w:pPr>
            <w:r>
              <w:rPr/>
              <w:t xml:space="preserve">                        RT of the component peak in  the assay sample preparation corresponds to that in the assay standard preparation
                    </w:t>
            </w:r>
          </w:p>
        </w:tc>
        <w:tc>
          <w:tcPr>
            <w:tcW w:w="2000" w:type="dxa"/>
          </w:tcPr>
          <w:p>
            <w:pPr>
              <w:pStyle w:val="pStyle"/>
            </w:pPr>
            <w:r>
              <w:rPr/>
              <w:t xml:space="preserve">                        
Super-imposable peak at RT 9.5 -/+ 10% min. present in both the assay sample and standard preparations     </w:t>
            </w:r>
          </w:p>
        </w:tc>
        <w:tc>
          <w:tcPr>
            <w:tcW w:w="800" w:type="dxa"/>
            <w:shd w:val="clear" w:color="" w:fill="dbdbdb"/>
          </w:tcPr>
          <w:p>
            <w:pPr>
              <w:pStyle w:val="pStyle"/>
            </w:pPr>
            <w:r>
              <w:rPr>
                <w:b/>
              </w:rPr>
              <w:t xml:space="preserve">COMPLIES</w:t>
            </w:r>
          </w:p>
        </w:tc>
      </w:tr>
      <w:tr>
        <w:trPr/>
        <w:tc>
          <w:tcPr>
            <w:tcW w:w="1200" w:type="dxa"/>
            <w:shd w:val="clear" w:color="" w:fill="dbdbdb"/>
          </w:tcPr>
          <w:p>
            <w:pPr>
              <w:pStyle w:val="pStyle"/>
            </w:pPr>
            <w:r>
              <w:rPr>
                <w:b/>
              </w:rPr>
              <w:t xml:space="preserve">Dissolution</w:t>
            </w:r>
          </w:p>
        </w:tc>
        <w:tc>
          <w:tcPr>
            <w:tcW w:w="1200" w:type="dxa"/>
          </w:tcPr>
          <w:p>
            <w:pPr>
              <w:pStyle w:val="pStyle"/>
            </w:pPr>
            <w:r>
              <w:rPr/>
              <w:t xml:space="preserve">HPLC</w:t>
            </w:r>
          </w:p>
        </w:tc>
        <w:tc>
          <w:tcPr>
            <w:tcW w:w="1400" w:type="dxa"/>
          </w:tcPr>
          <w:p>
            <w:pPr>
              <w:pStyle w:val="pStyle"/>
            </w:pPr>
            <w:r>
              <w:rPr/>
              <w:t xml:space="preserve">USP 38 NF 33 
Page 4540</w:t>
            </w:r>
          </w:p>
        </w:tc>
        <w:tc>
          <w:tcPr>
            <w:tcW w:w="2600" w:type="dxa"/>
          </w:tcPr>
          <w:p>
            <w:pPr>
              <w:pStyle w:val="pStyle"/>
            </w:pPr>
            <w:r>
              <w:rPr/>
              <w:t xml:space="preserve">                        
       No tablet less than 80%
 [n=6]
             </w:t>
            </w:r>
          </w:p>
        </w:tc>
        <w:tc>
          <w:tcPr>
            <w:tcW w:w="2000" w:type="dxa"/>
          </w:tcPr>
          <w:p>
            <w:pPr>
              <w:pStyle w:val="pStyle"/>
            </w:pPr>
            <w:r>
              <w:rPr/>
              <w:t xml:space="preserve">                        96.3%
(RSD=1.6%; n=6)                 </w:t>
            </w:r>
          </w:p>
        </w:tc>
        <w:tc>
          <w:tcPr>
            <w:tcW w:w="800" w:type="dxa"/>
            <w:shd w:val="clear" w:color="" w:fill="dbdbdb"/>
          </w:tcPr>
          <w:p>
            <w:pPr>
              <w:pStyle w:val="pStyle"/>
            </w:pPr>
            <w:r>
              <w:rPr>
                <w:b/>
              </w:rPr>
              <w:t xml:space="preserve">COMPLIES</w:t>
            </w:r>
          </w:p>
        </w:tc>
      </w:tr>
      <w:tr>
        <w:trPr/>
        <w:tc>
          <w:tcPr>
            <w:tcW w:w="1200" w:type="dxa"/>
            <w:shd w:val="clear" w:color="" w:fill="dbdbdb"/>
          </w:tcPr>
          <w:p>
            <w:pPr>
              <w:pStyle w:val="pStyle"/>
            </w:pPr>
            <w:r>
              <w:rPr>
                <w:b/>
              </w:rPr>
              <w:t xml:space="preserve">Assay</w:t>
            </w:r>
          </w:p>
        </w:tc>
        <w:tc>
          <w:tcPr>
            <w:tcW w:w="1200" w:type="dxa"/>
          </w:tcPr>
          <w:p>
            <w:pPr>
              <w:pStyle w:val="pStyle"/>
            </w:pPr>
            <w:r>
              <w:rPr/>
              <w:t xml:space="preserve">HPLC</w:t>
            </w:r>
          </w:p>
        </w:tc>
        <w:tc>
          <w:tcPr>
            <w:tcW w:w="1400" w:type="dxa"/>
          </w:tcPr>
          <w:p>
            <w:pPr>
              <w:pStyle w:val="pStyle"/>
            </w:pPr>
            <w:r>
              <w:rPr/>
              <w:t xml:space="preserve">USP 38 NF 33 
Page 4540</w:t>
            </w:r>
          </w:p>
        </w:tc>
        <w:tc>
          <w:tcPr>
            <w:tcW w:w="2600" w:type="dxa"/>
          </w:tcPr>
          <w:p>
            <w:pPr>
              <w:pStyle w:val="pStyle"/>
            </w:pPr>
            <w:r>
              <w:rPr/>
              <w:t xml:space="preserve">90.0 - 110.0%</w:t>
            </w:r>
          </w:p>
        </w:tc>
        <w:tc>
          <w:tcPr>
            <w:tcW w:w="2000" w:type="dxa"/>
          </w:tcPr>
          <w:p>
            <w:pPr>
              <w:pStyle w:val="pStyle"/>
            </w:pPr>
            <w:r>
              <w:rPr/>
              <w:t xml:space="preserve">100.0% 
(RSD=0.5%; n=9)</w:t>
            </w:r>
          </w:p>
        </w:tc>
        <w:tc>
          <w:tcPr>
            <w:tcW w:w="800" w:type="dxa"/>
            <w:shd w:val="clear" w:color="" w:fill="dbdbdb"/>
          </w:tcPr>
          <w:p>
            <w:pPr>
              <w:pStyle w:val="pStyle"/>
            </w:pPr>
            <w:r>
              <w:rPr>
                <w:b/>
              </w:rPr>
              <w:t xml:space="preserve">COMPLIES</w:t>
            </w:r>
          </w:p>
        </w:tc>
      </w:tr>
    </w:tbl>
    <w:p/>
    <w:p>
      <w:pPr>
        <w:jc w:val="left"/>
      </w:pPr>
      <w:r>
        <w:rPr>
          <w:b/>
        </w:rPr>
        <w:t xml:space="preserve">CONCLUSION: </w:t>
      </w:r>
      <w:r>
        <w:rPr>
          <w:shd w:val="clear" w:color="" w:fill="D9D9D9"/>
        </w:rPr>
        <w:t xml:space="preserve">The product complies with the specifications for the tests performed.</w:t>
      </w:r>
    </w:p>
    <w:tbl>
      <w:tblGrid>
        <w:gridCol w:w="1500" w:type="dxa"/>
        <w:gridCol w:w="3000" w:type="dxa"/>
        <w:gridCol w:w="2500" w:type="dxa"/>
        <w:gridCol w:w="2500" w:type="dxa"/>
      </w:tblGrid>
      <w:tr>
        <w:trPr>
          <w:trHeight w:val="100" w:hRule="atLeast"/>
        </w:trPr>
        <w:tc>
          <w:tcPr>
            <w:tcW w:w="1500" w:type="dxa"/>
          </w:tcPr>
          <w:p>
            <w:pPr/>
            <w:r>
              <w:rPr/>
              <w:t xml:space="preserve">ANALYST:</w:t>
            </w:r>
          </w:p>
        </w:tc>
        <w:tc>
          <w:tcPr>
            <w:tcW w:w="3000" w:type="dxa"/>
          </w:tcPr>
          <w:p>
            <w:pPr/>
            <w:r>
              <w:rPr/>
              <w:t xml:space="preserve">DR. E. MUTUA</w:t>
            </w:r>
          </w:p>
        </w:tc>
        <w:tc>
          <w:tcPr>
            <w:tcW w:w="2500" w:type="dxa"/>
            <w:tcBorders>
              <w:bottom w:val="single" w:sz="1" w:color="000000"/>
            </w:tcBorders>
          </w:tcPr>
          <w:p/>
        </w:tc>
        <w:tc>
          <w:tcPr>
            <w:tcW w:w="2500" w:type="dxa"/>
          </w:tcPr>
          <w:p>
            <w:pPr>
              <w:pStyle w:val="UTF-8"/>
            </w:pPr>
            <w:r>
              <w:t xml:space="preserve">DATE:19-02-2016</w:t>
            </w:r>
          </w:p>
        </w:tc>
      </w:tr>
      <w:tr>
        <w:trPr>
          <w:trHeight w:val="100" w:hRule="atLeast"/>
        </w:trPr>
        <w:tc>
          <w:tcPr>
            <w:tcW w:w="1500" w:type="dxa"/>
          </w:tcPr>
          <w:p>
            <w:pPr/>
            <w:r>
              <w:rPr/>
              <w:t xml:space="preserve">ANALYST:</w:t>
            </w:r>
          </w:p>
        </w:tc>
        <w:tc>
          <w:tcPr>
            <w:tcW w:w="3000" w:type="dxa"/>
          </w:tcPr>
          <w:p>
            <w:pPr/>
            <w:r>
              <w:rPr/>
              <w:t xml:space="preserve">DR. E. TUANUI</w:t>
            </w:r>
          </w:p>
        </w:tc>
        <w:tc>
          <w:tcPr>
            <w:tcW w:w="2500" w:type="dxa"/>
            <w:tcBorders>
              <w:bottom w:val="single" w:sz="1" w:color="000000"/>
            </w:tcBorders>
          </w:tcPr>
          <w:p/>
        </w:tc>
        <w:tc>
          <w:tcPr>
            <w:tcW w:w="2500" w:type="dxa"/>
          </w:tcPr>
          <w:p>
            <w:pPr>
              <w:pStyle w:val="UTF-8"/>
            </w:pPr>
            <w:r>
              <w:t xml:space="preserve">DATE:29-02-2016</w:t>
            </w:r>
          </w:p>
        </w:tc>
      </w:tr>
      <w:tr>
        <w:trPr>
          <w:trHeight w:val="100" w:hRule="atLeast"/>
        </w:trPr>
        <w:tc>
          <w:tcPr>
            <w:tcW w:w="1500" w:type="dxa"/>
          </w:tcPr>
          <w:p>
            <w:pPr/>
            <w:r>
              <w:rPr/>
              <w:t xml:space="preserve">ANALYST: </w:t>
            </w:r>
          </w:p>
        </w:tc>
        <w:tc>
          <w:tcPr>
            <w:tcW w:w="3000" w:type="dxa"/>
          </w:tcPr>
          <w:p>
            <w:pPr/>
            <w:r>
              <w:rPr/>
              <w:t xml:space="preserve">NICHOLAS MWAURA</w:t>
            </w:r>
          </w:p>
        </w:tc>
        <w:tc>
          <w:tcPr>
            <w:tcW w:w="2500" w:type="dxa"/>
            <w:tcBorders>
              <w:bottom w:val="single" w:sz="1" w:color="000000"/>
            </w:tcBorders>
          </w:tcPr>
          <w:p/>
        </w:tc>
        <w:tc>
          <w:tcPr>
            <w:tcW w:w="2500" w:type="dxa"/>
          </w:tcPr>
          <w:p>
            <w:pPr>
              <w:pStyle w:val="UTF-8"/>
            </w:pPr>
            <w:r>
              <w:t xml:space="preserve">DATE:03-01-2016</w:t>
            </w:r>
          </w:p>
        </w:tc>
      </w:tr>
      <w:tr>
        <w:trPr>
          <w:trHeight w:val="100" w:hRule="atLeast"/>
        </w:trPr>
        <w:tc>
          <w:tcPr>
            <w:tcW w:w="1500" w:type="dxa"/>
          </w:tcPr>
          <w:p>
            <w:pPr/>
            <w:r>
              <w:rPr/>
              <w:t xml:space="preserve">DIRECTOR:</w:t>
            </w:r>
          </w:p>
        </w:tc>
        <w:tc>
          <w:tcPr>
            <w:tcW w:w="3000" w:type="dxa"/>
          </w:tcPr>
          <w:p>
            <w:pPr/>
            <w:r>
              <w:rPr/>
              <w:t xml:space="preserve">HEZEKIAH CHEPKWONY</w:t>
            </w:r>
          </w:p>
        </w:tc>
        <w:tc>
          <w:tcPr>
            <w:tcW w:w="2500" w:type="dxa"/>
            <w:tcBorders>
              <w:bottom w:val="single" w:sz="1" w:color="000000"/>
            </w:tcBorders>
          </w:tcPr>
          <w:p/>
        </w:tc>
        <w:tc>
          <w:tcPr>
            <w:tcW w:w="2500" w:type="dxa"/>
          </w:tcPr>
          <w:p>
            <w:pPr>
              <w:pStyle w:val="UTF-8"/>
            </w:pPr>
            <w:r>
              <w:t xml:space="preserve">DATE:03-02-2016</w:t>
            </w:r>
          </w:p>
        </w:tc>
      </w:tr>
    </w:tbl>
    <w:sectPr>
      <w:pgSz w:orient="portrait" w:w="11908.8" w:h="16833.6"/>
      <w:pgMar w:top="2347.2" w:right="1800" w:bottom="288" w:left="180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Book Antiqua" w:hAnsi="Book Antiqua" w:eastAsia="Book Antiqua" w:cs="Book Antiqua"/>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pStyle">
    <w:name w:val="pStyle"/>
    <w:basedOn w:val="Normal"/>
    <w:pPr>
      <w:jc w:val="cente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2016-03-03T13:52:54+01:00</dcterms:created>
  <dcterms:modified xsi:type="dcterms:W3CDTF">2016-03-03T13:52:54+01:00</dcterms:modified>
</cp:coreProperties>
</file>

<file path=docProps/custom.xml><?xml version="1.0" encoding="utf-8"?>
<Properties xmlns="http://schemas.openxmlformats.org/officeDocument/2006/custom-properties" xmlns:vt="http://schemas.openxmlformats.org/officeDocument/2006/docPropsVTypes"/>
</file>