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6"/>
          <w:szCs w:val="36"/>
          <w:b/>
        </w:rPr>
        <w:t xml:space="preserve">CERTIFICATE OF ANALYSIS</w:t>
      </w:r>
    </w:p>
    <w:p>
      <w:pPr>
        <w:jc w:val="center"/>
      </w:pPr>
      <w:r>
        <w:rPr>
          <w:sz w:val="26"/>
          <w:szCs w:val="26"/>
          <w:b/>
        </w:rPr>
        <w:t xml:space="preserve">CERTIFICATE No: </w:t>
      </w:r>
      <w:r>
        <w:rPr>
          <w:sz w:val="26"/>
          <w:szCs w:val="26"/>
          <w:u w:val="single"/>
        </w:rPr>
        <w:t xml:space="preserve">CAN/2015-16/731</w:t>
      </w:r>
    </w:p>
    <w:tbl>
      <w:tblGrid>
        <w:gridCol w:w="2100" w:type="dxa"/>
        <w:gridCol w:w="6000" w:type="dxa"/>
        <w:gridCol w:w="3000" w:type="dxa"/>
      </w:tblGrid>
      <w:tblPr>
        <w:jc w:val="center"/>
        <w:tblW w:w="6642.25" w:type="pct"/>
      </w:tblPr>
      <w:tr>
        <w:trPr/>
        <w:tc>
          <w:tcPr>
            <w:tcW w:w="2100" w:type="dxa"/>
            <w:shd w:val="clear" w:color="" w:fill="D9D9D9"/>
          </w:tcPr>
          <w:p>
            <w:pPr/>
            <w:r>
              <w:rPr>
                <w:sz w:val="22"/>
                <w:szCs w:val="22"/>
                <w:b/>
              </w:rPr>
              <w:t xml:space="preserve">PRODUCT</w:t>
            </w:r>
          </w:p>
        </w:tc>
        <w:tc>
          <w:tcPr>
            <w:tcW w:w="6000" w:type="dxa"/>
            <w:shd w:val="clear" w:color="" w:fill="D9D9D9"/>
            <w:gridSpan w:val="2"/>
          </w:tcPr>
          <w:p>
            <w:pPr/>
            <w:r>
              <w:rPr/>
              <w:t xml:space="preserve">LAMIVUDINE, NEVIRAPINE &amp; ZIDOVUDINE TABLETS 
150 mg/200 mg/300 mg</w:t>
            </w:r>
          </w:p>
        </w:tc>
        <w:tc>
          <w:tcPr>
            <w:tcW w:w="3000" w:type="dxa"/>
            <w:shd w:val="clear" w:color="" w:fill="D9D9D9"/>
          </w:tcPr>
          <w:p>
            <w:pPr/>
            <w:r>
              <w:rPr/>
              <w:t xml:space="preserve">REF. NO: NDQB201604888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DATE RECEIVED:</w:t>
            </w:r>
            <w:br/>
            <w:r>
              <w:rPr/>
              <w:t xml:space="preserve">28.04.2016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LABEL CLAIM: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Each film coated tablet contains 150 mg of Lamivudine USP, 200 mg of Nevirapine USP and 300 mg of Zidovudine USP.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BATCH NO.:</w:t>
            </w:r>
            <w:br/>
            <w:r>
              <w:rPr/>
              <w:t xml:space="preserve">LZV16016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PRESENTATION: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Off white coloured, caplet-shaped, biconvex faced tablets, embossed '3' on one face and 'H' on the other face, packed in a white plastic multi-dose container carrying 60 tablets in a unit box.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MGF. DATE:</w:t>
            </w:r>
            <w:br/>
            <w:r>
              <w:rPr/>
              <w:t xml:space="preserve">Feb. 2016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MANUFACTURER: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HETERO Labs Limited.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EXP. DATE:</w:t>
            </w:r>
            <w:br/>
            <w:r>
              <w:rPr/>
              <w:t xml:space="preserve">   Jan. 2019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ADDRESS: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Unit-V, Polepally, Jadcherla, 
Mahaboob Nagar - 509 301,
INDIA.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CLIENT REF NO: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CLIENT: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Kenya Medical Supplies Authority, P.O. Box 47715 - 00100, Nairobi, KENYA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2100" w:type="dxa"/>
          </w:tcPr>
          <w:p>
            <w:pPr/>
            <w:r>
              <w:rPr>
                <w:sz w:val="22"/>
                <w:szCs w:val="22"/>
                <w:b/>
              </w:rPr>
              <w:t xml:space="preserve">TEST(S) REQUESTED: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Uniformity of Weight, Identification, Dissolution, Assay</w:t>
            </w:r>
          </w:p>
        </w:tc>
      </w:tr>
    </w:tbl>
    <w:p/>
    <w:p>
      <w:pPr>
        <w:jc w:val="center"/>
      </w:pPr>
      <w:r>
        <w:rPr>
          <w:sz w:val="20"/>
          <w:szCs w:val="20"/>
          <w:b/>
        </w:rPr>
        <w:t xml:space="preserve">RESULTS</w:t>
      </w:r>
    </w:p>
    <w:p/>
    <w:tbl>
      <w:tblGrid>
        <w:gridCol w:w="1200" w:type="dxa"/>
        <w:gridCol w:w="1200" w:type="dxa"/>
        <w:gridCol w:w="1400" w:type="dxa"/>
        <w:gridCol w:w="2600" w:type="dxa"/>
        <w:gridCol w:w="2000" w:type="dxa"/>
        <w:gridCol w:w="800" w:type="dxa"/>
      </w:tblGrid>
      <w:tblPr>
        <w:jc w:val="center"/>
        <w:tblW w:w="6400" w:type="pc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1200" w:type="dxa"/>
            <w:shd w:val="clear" w:color="" w:fill="CCCCCC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TEST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METHOD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COMPEDIA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SPECIFICATION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DETERMINED</w:t>
            </w:r>
          </w:p>
        </w:tc>
        <w:tc>
          <w:tcPr>
            <w:tcW w:w="800" w:type="dxa"/>
            <w:shd w:val="clear" w:color="" w:fill="D9D9D9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REMARKS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/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  
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RT of the component peaks in  the assay sample preparation correspond to those in the assay standard preparation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Super-imposable peaks at RT 3.1, 4.4 and 6.7 -/+ 10% min present in both the assay sample and standard preparations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/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  
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No tablet less than 80% 
[n=6]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Lamivudine 
99.9% 
(RSD=2.9%; n=6) 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/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  
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No tablet less than 80% 
[n=6]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Nevirapine 
97.4%
(RSD=1.1%, n=6) 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/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  
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No tablet less than 80% 
[n=6]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Zidovudine 
96.8% 
(RSD=2.8%, n=6)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/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  
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90% - 110%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 Lamivudine 
99.30% 
(RSD=0.2%, n=9) 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/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  
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90% - 110%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Nevirapine 
95.1%
(RSD=0.4%, n=9) 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/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  
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90% - 110%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Zidovudine 
97.4%
(RSD=0.2%, n=9)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Uniformity of Weight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/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B.P. 2016 Vol. V 
App XII C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NMT 2 tablets deviate by more than 5% from mean tablet weight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None Deviates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</w:tbl>
    <w:p/>
    <w:p>
      <w:pPr>
        <w:jc w:val="left"/>
      </w:pPr>
      <w:r>
        <w:rPr>
          <w:b/>
        </w:rPr>
        <w:t xml:space="preserve">CONCLUSION: </w:t>
      </w:r>
      <w:r>
        <w:rPr>
          <w:shd w:val="clear" w:color="" w:fill="D9D9D9"/>
        </w:rPr>
        <w:t xml:space="preserve">The product complies with the specifications for the tests performed.</w:t>
      </w:r>
    </w:p>
    <w:tbl>
      <w:tblGrid>
        <w:gridCol w:w="1500" w:type="dxa"/>
        <w:gridCol w:w="3000" w:type="dxa"/>
        <w:gridCol w:w="2500" w:type="dxa"/>
        <w:gridCol w:w="2500" w:type="dxa"/>
      </w:tblGrid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</w:t>
            </w:r>
          </w:p>
        </w:tc>
        <w:tc>
          <w:tcPr>
            <w:tcW w:w="3000" w:type="dxa"/>
          </w:tcPr>
          <w:p>
            <w:pPr/>
            <w:r>
              <w:rPr/>
              <w:t xml:space="preserve">DR. J. CHEPCHUMBA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DATE:23-05-2016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</w:t>
            </w:r>
          </w:p>
        </w:tc>
        <w:tc>
          <w:tcPr>
            <w:tcW w:w="3000" w:type="dxa"/>
          </w:tcPr>
          <w:p>
            <w:pPr/>
            <w:r>
              <w:rPr/>
              <w:t xml:space="preserve">DR. N. MWAURA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DATE:08-06-2016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 </w:t>
            </w:r>
          </w:p>
        </w:tc>
        <w:tc>
          <w:tcPr>
            <w:tcW w:w="3000" w:type="dxa"/>
          </w:tcPr>
          <w:p>
            <w:pPr/>
            <w:r>
              <w:rPr/>
              <w:t xml:space="preserve">EMMANUEL TANUI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DATE:06-14-2016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DIRECTOR:</w:t>
            </w:r>
          </w:p>
        </w:tc>
        <w:tc>
          <w:tcPr>
            <w:tcW w:w="3000" w:type="dxa"/>
          </w:tcPr>
          <w:p>
            <w:pPr/>
            <w:r>
              <w:rPr/>
              <w:t xml:space="preserve">HEZEKIAH CHEPKWONY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DATE:06-16-2016</w:t>
            </w:r>
          </w:p>
        </w:tc>
      </w:tr>
    </w:tbl>
    <w:sectPr>
      <w:pgSz w:orient="portrait" w:w="11908.8" w:h="16833.6"/>
      <w:pgMar w:top="2347.2" w:right="1800" w:bottom="288" w:left="18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hAnsi="Book Antiqua" w:eastAsia="Book Antiqua" w:cs="Book Antiqua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2016-06-17T07:08:14+02:00</dcterms:created>
  <dcterms:modified xsi:type="dcterms:W3CDTF">2016-06-17T07:08:14+02:00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