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CAN/2015-16/708</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EFAVIRENZ, LAMIVUDINE and TENOFOVIR DISOPROXIL FUMARATE TABLETS 600 mg/300 mg/300 mg
</w:t>
            </w:r>
          </w:p>
        </w:tc>
        <w:tc>
          <w:tcPr>
            <w:tcW w:w="3000" w:type="dxa"/>
            <w:shd w:val="clear" w:color="" w:fill="D9D9D9"/>
          </w:tcPr>
          <w:p>
            <w:pPr/>
            <w:r>
              <w:rPr/>
              <w:t xml:space="preserve">REF. NO: NDQB201605893</w:t>
            </w:r>
          </w:p>
        </w:tc>
      </w:tr>
      <w:tr>
        <w:trPr/>
        <w:tc>
          <w:tcPr>
            <w:tcW w:w="2100" w:type="dxa"/>
            <w:shd w:val="clear" w:color="" w:fill="C0C0C0"/>
          </w:tcPr>
          <w:p>
            <w:pPr>
              <w:jc w:val="center"/>
            </w:pPr>
            <w:r>
              <w:rPr>
                <w:sz w:val="22"/>
                <w:szCs w:val="22"/>
                <w:b/>
              </w:rPr>
              <w:t xml:space="preserve">DATE RECEIVED:</w:t>
            </w:r>
            <w:br/>
            <w:r>
              <w:rPr/>
              <w:t xml:space="preserve">05.05.2016</w:t>
            </w:r>
          </w:p>
        </w:tc>
        <w:tc>
          <w:tcPr>
            <w:tcW w:w="2500" w:type="dxa"/>
          </w:tcPr>
          <w:p>
            <w:pPr/>
            <w:r>
              <w:rPr>
                <w:sz w:val="22"/>
                <w:szCs w:val="22"/>
                <w:b/>
              </w:rPr>
              <w:t xml:space="preserve">LABEL CLAIM:  </w:t>
            </w:r>
          </w:p>
        </w:tc>
        <w:tc>
          <w:tcPr>
            <w:tcW w:w="5000" w:type="dxa"/>
            <w:gridSpan w:val="2"/>
          </w:tcPr>
          <w:p>
            <w:pPr/>
            <w:r>
              <w:rPr/>
              <w:t xml:space="preserve">Each film coated tablet contains 600 mg of Efavirenz USP, 300 mg 
of lamivudine USP and 300 mg of tenofovir disoproxil fumarate, which 
is equivalent to 245 mg of tenofovir disoproxil fumarate.</w:t>
            </w:r>
          </w:p>
        </w:tc>
      </w:tr>
      <w:tr>
        <w:trPr/>
        <w:tc>
          <w:tcPr>
            <w:tcW w:w="2100" w:type="dxa"/>
            <w:shd w:val="clear" w:color="" w:fill="C0C0C0"/>
          </w:tcPr>
          <w:p>
            <w:pPr>
              <w:jc w:val="center"/>
            </w:pPr>
            <w:r>
              <w:rPr>
                <w:sz w:val="22"/>
                <w:szCs w:val="22"/>
                <w:b/>
              </w:rPr>
              <w:t xml:space="preserve">BATCH NO.:</w:t>
            </w:r>
            <w:br/>
            <w:r>
              <w:rPr/>
              <w:t xml:space="preserve">E160203</w:t>
            </w:r>
          </w:p>
        </w:tc>
        <w:tc>
          <w:tcPr>
            <w:tcW w:w="2500" w:type="dxa"/>
          </w:tcPr>
          <w:p>
            <w:pPr/>
            <w:r>
              <w:rPr>
                <w:sz w:val="22"/>
                <w:szCs w:val="22"/>
                <w:b/>
              </w:rPr>
              <w:t xml:space="preserve">PRESENTATION:  </w:t>
            </w:r>
          </w:p>
        </w:tc>
        <w:tc>
          <w:tcPr>
            <w:tcW w:w="5000" w:type="dxa"/>
            <w:gridSpan w:val="2"/>
          </w:tcPr>
          <w:p>
            <w:pPr/>
            <w:r>
              <w:rPr/>
              <w:t xml:space="preserve">Straw coloured, caplet-shaped, biconvex faced tablets, embossed '127' on one face and 'I' on the other, packed in a white plastic multidose container with a child proof closure carrying 30 tablets in a unit box.</w:t>
            </w:r>
          </w:p>
        </w:tc>
      </w:tr>
      <w:tr>
        <w:trPr/>
        <w:tc>
          <w:tcPr>
            <w:tcW w:w="2100" w:type="dxa"/>
            <w:shd w:val="clear" w:color="" w:fill="C0C0C0"/>
          </w:tcPr>
          <w:p>
            <w:pPr>
              <w:jc w:val="center"/>
            </w:pPr>
            <w:r>
              <w:rPr>
                <w:sz w:val="22"/>
                <w:szCs w:val="22"/>
                <w:b/>
              </w:rPr>
              <w:t xml:space="preserve">MGF. DATE:</w:t>
            </w:r>
            <w:br/>
            <w:r>
              <w:rPr/>
              <w:t xml:space="preserve">Feb. 2016</w:t>
            </w:r>
          </w:p>
        </w:tc>
        <w:tc>
          <w:tcPr>
            <w:tcW w:w="2500" w:type="dxa"/>
          </w:tcPr>
          <w:p>
            <w:pPr/>
            <w:r>
              <w:rPr>
                <w:sz w:val="22"/>
                <w:szCs w:val="22"/>
                <w:b/>
              </w:rPr>
              <w:t xml:space="preserve">MANUFACTURER:  </w:t>
            </w:r>
          </w:p>
        </w:tc>
        <w:tc>
          <w:tcPr>
            <w:tcW w:w="5000" w:type="dxa"/>
            <w:gridSpan w:val="2"/>
          </w:tcPr>
          <w:p>
            <w:pPr/>
            <w:r>
              <w:rPr/>
              <w:t xml:space="preserve">HETERO Labs Limited.</w:t>
            </w:r>
          </w:p>
        </w:tc>
      </w:tr>
      <w:tr>
        <w:trPr/>
        <w:tc>
          <w:tcPr>
            <w:tcW w:w="2100" w:type="dxa"/>
            <w:shd w:val="clear" w:color="" w:fill="C0C0C0"/>
          </w:tcPr>
          <w:p>
            <w:pPr>
              <w:jc w:val="center"/>
            </w:pPr>
            <w:r>
              <w:rPr>
                <w:sz w:val="22"/>
                <w:szCs w:val="22"/>
                <w:b/>
              </w:rPr>
              <w:t xml:space="preserve">EXP. DATE:</w:t>
            </w:r>
            <w:br/>
            <w:r>
              <w:rPr/>
              <w:t xml:space="preserve">    Jan. 2018</w:t>
            </w:r>
          </w:p>
        </w:tc>
        <w:tc>
          <w:tcPr>
            <w:tcW w:w="2500" w:type="dxa"/>
          </w:tcPr>
          <w:p>
            <w:pPr/>
            <w:r>
              <w:rPr>
                <w:sz w:val="22"/>
                <w:szCs w:val="22"/>
                <w:b/>
              </w:rPr>
              <w:t xml:space="preserve">ADDRESS:  </w:t>
            </w:r>
          </w:p>
        </w:tc>
        <w:tc>
          <w:tcPr>
            <w:tcW w:w="5000" w:type="dxa"/>
            <w:gridSpan w:val="2"/>
          </w:tcPr>
          <w:p>
            <w:pPr/>
            <w:r>
              <w:rPr/>
              <w:t xml:space="preserve">22 - 110, I.D.A., Jeedimetla,
Hyderabad - 500 055,
INDIA.
</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Kenya Medical Supplies Authority, P.O. Box 47715 - 00100, Nairobi, KENYA</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V 
 App XII C</w:t>
            </w:r>
          </w:p>
        </w:tc>
        <w:tc>
          <w:tcPr>
            <w:tcW w:w="2600" w:type="dxa"/>
          </w:tcPr>
          <w:p>
            <w:pPr>
              <w:pStyle w:val="pStyle"/>
            </w:pPr>
            <w:r>
              <w:rPr/>
              <w:t xml:space="preserve">NMT 2 tablets deviate by more than 5% from mean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RT of the component peaks in  the sample preparation correspond to those in the standard preparation</w:t>
            </w:r>
          </w:p>
        </w:tc>
        <w:tc>
          <w:tcPr>
            <w:tcW w:w="2000" w:type="dxa"/>
          </w:tcPr>
          <w:p>
            <w:pPr>
              <w:pStyle w:val="pStyle"/>
            </w:pPr>
            <w:r>
              <w:rPr/>
              <w:t xml:space="preserve">Super-imposable peak at RT 5.5, 15.1, 21.9 -/+ 10% min.for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No tablet less than 80%[n=6]
No tablet less than 85%[n=6]</w:t>
            </w:r>
          </w:p>
        </w:tc>
        <w:tc>
          <w:tcPr>
            <w:tcW w:w="2000" w:type="dxa"/>
          </w:tcPr>
          <w:p>
            <w:pPr>
              <w:pStyle w:val="pStyle"/>
            </w:pPr>
            <w:r>
              <w:rPr/>
              <w:t xml:space="preserve"> Efavirenz 
97.7%
 (RSD=0.8%; n=6)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No tablet less than 80%[n=6]
No tablet less than 85%[n=6]</w:t>
            </w:r>
          </w:p>
        </w:tc>
        <w:tc>
          <w:tcPr>
            <w:tcW w:w="2000" w:type="dxa"/>
          </w:tcPr>
          <w:p>
            <w:pPr>
              <w:pStyle w:val="pStyle"/>
            </w:pPr>
            <w:r>
              <w:rPr/>
              <w:t xml:space="preserve">  Lamivudine 
100.0%;
(RSD=0.8%; n=6)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No tablet less than 80%[n=6]
No tablet less than 85%[n=6]</w:t>
            </w:r>
          </w:p>
        </w:tc>
        <w:tc>
          <w:tcPr>
            <w:tcW w:w="2000" w:type="dxa"/>
          </w:tcPr>
          <w:p>
            <w:pPr>
              <w:pStyle w:val="pStyle"/>
            </w:pPr>
            <w:r>
              <w:rPr/>
              <w:t xml:space="preserve">  Tenofovir Disoproxil Fumarate
 98.6% 
(RSD=1.0%; n=6)</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90.0 - 110.0%</w:t>
            </w:r>
          </w:p>
        </w:tc>
        <w:tc>
          <w:tcPr>
            <w:tcW w:w="2000" w:type="dxa"/>
          </w:tcPr>
          <w:p>
            <w:pPr>
              <w:pStyle w:val="pStyle"/>
            </w:pPr>
            <w:r>
              <w:rPr/>
              <w:t xml:space="preserve"> Efavirenz 
98.2% 
(RSD=0.4%; n=9)</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90.0 - 110.0%</w:t>
            </w:r>
          </w:p>
        </w:tc>
        <w:tc>
          <w:tcPr>
            <w:tcW w:w="2000" w:type="dxa"/>
          </w:tcPr>
          <w:p>
            <w:pPr>
              <w:pStyle w:val="pStyle"/>
            </w:pPr>
            <w:r>
              <w:rPr/>
              <w:t xml:space="preserve">  Lamivudine 
101.7%
 (RSD=0.4%; n=9)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Manufacturer's
In-House Method</w:t>
            </w:r>
          </w:p>
        </w:tc>
        <w:tc>
          <w:tcPr>
            <w:tcW w:w="2600" w:type="dxa"/>
          </w:tcPr>
          <w:p>
            <w:pPr>
              <w:pStyle w:val="pStyle"/>
            </w:pPr>
            <w:r>
              <w:rPr/>
              <w:t xml:space="preserve">90.0 - 110.0%</w:t>
            </w:r>
          </w:p>
        </w:tc>
        <w:tc>
          <w:tcPr>
            <w:tcW w:w="2000" w:type="dxa"/>
          </w:tcPr>
          <w:p>
            <w:pPr>
              <w:pStyle w:val="pStyle"/>
            </w:pPr>
            <w:r>
              <w:rPr/>
              <w:t xml:space="preserve">  Tenofovir Disoproxil Fumarate 
100.1%
 (RSD=0.6%; n=9) </w:t>
            </w:r>
          </w:p>
        </w:tc>
        <w:tc>
          <w:tcPr>
            <w:tcW w:w="800" w:type="dxa"/>
            <w:shd w:val="clear" w:color="" w:fill="dbdbdb"/>
          </w:tcPr>
          <w:p>
            <w:pPr>
              <w:pStyle w:val="pStyle"/>
            </w:pPr>
            <w:r>
              <w:rPr>
                <w:b/>
              </w:rPr>
              <w:t xml:space="preserve">COMPLIES:COMPLIES:COMPLIES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MR. M. SANGALE</w:t>
            </w:r>
          </w:p>
        </w:tc>
        <w:tc>
          <w:tcPr>
            <w:tcW w:w="2500" w:type="dxa"/>
            <w:tcBorders>
              <w:bottom w:val="single" w:sz="1" w:color="000000"/>
            </w:tcBorders>
          </w:tcPr>
          <w:p/>
        </w:tc>
        <w:tc>
          <w:tcPr>
            <w:tcW w:w="2500" w:type="dxa"/>
          </w:tcPr>
          <w:p>
            <w:pPr>
              <w:pStyle w:val="UTF-8"/>
            </w:pPr>
            <w:r>
              <w:t xml:space="preserve">DATE:08-06-2016</w:t>
            </w:r>
          </w:p>
        </w:tc>
      </w:tr>
      <w:tr>
        <w:trPr>
          <w:trHeight w:val="100" w:hRule="atLeast"/>
        </w:trPr>
        <w:tc>
          <w:tcPr>
            <w:tcW w:w="1500" w:type="dxa"/>
          </w:tcPr>
          <w:p>
            <w:pPr/>
            <w:r>
              <w:rPr/>
              <w:t xml:space="preserve">ANALYST:</w:t>
            </w:r>
          </w:p>
        </w:tc>
        <w:tc>
          <w:tcPr>
            <w:tcW w:w="3000" w:type="dxa"/>
          </w:tcPr>
          <w:p>
            <w:pPr/>
            <w:r>
              <w:rPr/>
              <w:t xml:space="preserve">DR. G. WANG'ANG'A</w:t>
            </w:r>
          </w:p>
        </w:tc>
        <w:tc>
          <w:tcPr>
            <w:tcW w:w="2500" w:type="dxa"/>
            <w:tcBorders>
              <w:bottom w:val="single" w:sz="1" w:color="000000"/>
            </w:tcBorders>
          </w:tcPr>
          <w:p/>
        </w:tc>
        <w:tc>
          <w:tcPr>
            <w:tcW w:w="2500" w:type="dxa"/>
          </w:tcPr>
          <w:p>
            <w:pPr>
              <w:pStyle w:val="UTF-8"/>
            </w:pPr>
            <w:r>
              <w:t xml:space="preserve">DATE:08-06-2016</w:t>
            </w:r>
          </w:p>
        </w:tc>
      </w:tr>
      <w:tr>
        <w:trPr>
          <w:trHeight w:val="100" w:hRule="atLeast"/>
        </w:trPr>
        <w:tc>
          <w:tcPr>
            <w:tcW w:w="1500" w:type="dxa"/>
          </w:tcPr>
          <w:p>
            <w:pPr/>
            <w:r>
              <w:rPr/>
              <w:t xml:space="preserve">ANALYST: </w:t>
            </w:r>
          </w:p>
        </w:tc>
        <w:tc>
          <w:tcPr>
            <w:tcW w:w="3000" w:type="dxa"/>
          </w:tcPr>
          <w:p>
            <w:pPr/>
            <w:r>
              <w:rPr/>
              <w:t xml:space="preserve">EMMANUEL TANUI</w:t>
            </w:r>
          </w:p>
        </w:tc>
        <w:tc>
          <w:tcPr>
            <w:tcW w:w="2500" w:type="dxa"/>
            <w:tcBorders>
              <w:bottom w:val="single" w:sz="1" w:color="000000"/>
            </w:tcBorders>
          </w:tcPr>
          <w:p/>
        </w:tc>
        <w:tc>
          <w:tcPr>
            <w:tcW w:w="2500" w:type="dxa"/>
          </w:tcPr>
          <w:p>
            <w:pPr>
              <w:pStyle w:val="UTF-8"/>
            </w:pPr>
            <w:r>
              <w:t xml:space="preserve">DATE:06-08-2016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DATE:06-13-2016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2016-06-15T09:43:50+02:00</dcterms:created>
  <dcterms:modified xsi:type="dcterms:W3CDTF">2016-06-15T09:43:50+02:00</dcterms:modified>
</cp:coreProperties>
</file>

<file path=docProps/custom.xml><?xml version="1.0" encoding="utf-8"?>
<Properties xmlns="http://schemas.openxmlformats.org/officeDocument/2006/custom-properties" xmlns:vt="http://schemas.openxmlformats.org/officeDocument/2006/docPropsVTypes"/>
</file>