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36"/>
          <w:szCs w:val="36"/>
          <w:b/>
        </w:rPr>
        <w:t xml:space="preserve">CERTIFICATE OF ANALYSIS</w:t>
      </w:r>
    </w:p>
    <w:p>
      <w:pPr>
        <w:jc w:val="center"/>
      </w:pPr>
      <w:r>
        <w:rPr>
          <w:sz w:val="24"/>
          <w:szCs w:val="24"/>
          <w:b/>
        </w:rPr>
        <w:t xml:space="preserve">CERTIFICATE No: </w:t>
      </w:r>
      <w:r>
        <w:rPr>
          <w:sz w:val="24"/>
          <w:szCs w:val="24"/>
          <w:u w:val="single"/>
        </w:rPr>
        <w:t xml:space="preserve">CAN/2016-2017/97</w:t>
      </w:r>
    </w:p>
    <w:tbl>
      <w:tblGrid>
        <w:gridCol w:w="2100" w:type="dxa"/>
        <w:gridCol w:w="6200" w:type="dxa"/>
        <w:gridCol w:w="3500" w:type="dxa"/>
      </w:tblGrid>
      <w:tblPr>
        <w:jc w:val="center"/>
        <w:tblW w:w="0" w:type="pct"/>
      </w:tblPr>
      <w:tr>
        <w:trPr>
          <w:trHeight w:val="400" w:hRule="atLeast"/>
        </w:trPr>
        <w:tc>
          <w:tcPr>
            <w:tcW w:w="2100" w:type="dxa"/>
            <w:vAlign w:val="center"/>
            <w:shd w:val="clear" w:color="" w:fill="D9D9D9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PRODUCT</w:t>
            </w:r>
          </w:p>
        </w:tc>
        <w:tc>
          <w:tcPr>
            <w:tcW w:w="6200" w:type="dxa"/>
            <w:shd w:val="clear" w:color="" w:fill="D9D9D9"/>
            <w:gridSpan w:val="2"/>
          </w:tcPr>
          <w:p>
            <w:pPr/>
            <w:r>
              <w:rPr/>
              <w:t xml:space="preserve">KOCEF-1000 INJECTION </w:t>
            </w:r>
          </w:p>
        </w:tc>
        <w:tc>
          <w:tcPr>
            <w:tcW w:w="3500" w:type="dxa"/>
            <w:vAlign w:val="center"/>
            <w:shd w:val="clear" w:color="" w:fill="D9D9D9"/>
          </w:tcPr>
          <w:p>
            <w:pPr/>
            <w:r>
              <w:rPr>
                <w:sz w:val="16"/>
                <w:szCs w:val="16"/>
                <w:b/>
              </w:rPr>
              <w:t xml:space="preserve">REF. NO: NDQB2016061174</w:t>
            </w:r>
          </w:p>
        </w:tc>
      </w:tr>
      <w:tr>
        <w:trPr>
          <w:trHeight w:val="7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DATE RECEIVED:</w:t>
            </w:r>
            <w:br/>
            <w:r>
              <w:rPr>
                <w:sz w:val="16"/>
                <w:szCs w:val="16"/>
              </w:rPr>
              <w:t xml:space="preserve">09-06-2016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LABEL CLAIM: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Each vial contains: Sterile Ceftriaxone Sodium USP equivalent to Ceftriaxone (Anhydrous) 1000 mg.</w:t>
            </w:r>
          </w:p>
        </w:tc>
      </w:tr>
      <w:tr>
        <w:trPr>
          <w:trHeight w:val="7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BATCH NO.:</w:t>
            </w:r>
            <w:br/>
            <w:r>
              <w:rPr>
                <w:sz w:val="16"/>
                <w:szCs w:val="16"/>
              </w:rPr>
              <w:t xml:space="preserve">Powder:LJ87015006
    Diluent: 7503739
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PRESENTATION: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Off white coloured, free flowing powder for intramuscular or intravenous administration contained in a clear colourless glass vial fitted with a metallic cap and a blue plastic flip off cap, packed along with sterile water for injection in a 10 mL plastic ampoule on a plastic rack in a unit box.</w:t>
            </w:r>
          </w:p>
        </w:tc>
      </w:tr>
      <w:tr>
        <w:trPr>
          <w:trHeight w:val="7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MFG. DATE:</w:t>
            </w:r>
            <w:br/>
            <w:r>
              <w:rPr>
                <w:sz w:val="16"/>
                <w:szCs w:val="16"/>
              </w:rPr>
              <w:t xml:space="preserve">Powder: Sep. 2015
Diluent: Sep. 2015
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MANUFACTURER: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KOPRAN Limited.                              </w:t>
            </w:r>
          </w:p>
        </w:tc>
      </w:tr>
      <w:tr>
        <w:trPr>
          <w:trHeight w:val="7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EXP. DATE:</w:t>
            </w:r>
            <w:br/>
            <w:r>
              <w:rPr>
                <w:sz w:val="16"/>
                <w:szCs w:val="16"/>
              </w:rPr>
              <w:t xml:space="preserve"> Powder: Aug. 2018
Diluent: Aug. 2020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ADDRESS: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Village Savroli, Tal. Khalapur,
Dist.  Raigad - 410 202,
INDIA.
</w:t>
            </w:r>
          </w:p>
        </w:tc>
      </w:tr>
      <w:tr>
        <w:trPr>
          <w:trHeight w:val="7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CLIENT REF NO: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CLIENT: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Kenya Medical Supplies Authority, P.O. Box 47715 - 00100, Nairobi, Kenya.</w:t>
            </w:r>
          </w:p>
        </w:tc>
      </w:tr>
      <w:tr>
        <w:trPr/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100" w:type="dxa"/>
          </w:tcPr>
          <w:p>
            <w:pPr/>
            <w:r>
              <w:rPr>
                <w:sz w:val="16"/>
                <w:szCs w:val="16"/>
                <w:b/>
              </w:rPr>
              <w:t xml:space="preserve">TEST(S) REQUESTED: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Uniformity of Weight, Sterility, Identification, Bacterial Endotoxin, Assay, Acidity/Alkalinity</w:t>
            </w:r>
          </w:p>
        </w:tc>
      </w:tr>
    </w:tbl>
    <w:p/>
    <w:p>
      <w:pPr>
        <w:jc w:val="center"/>
      </w:pPr>
      <w:r>
        <w:rPr>
          <w:sz w:val="16"/>
          <w:szCs w:val="16"/>
          <w:b/>
        </w:rPr>
        <w:t xml:space="preserve">RESULTS</w:t>
      </w:r>
    </w:p>
    <w:p/>
    <w:tbl>
      <w:tblGrid>
        <w:gridCol w:w="1200" w:type="dxa"/>
        <w:gridCol w:w="1200" w:type="dxa"/>
        <w:gridCol w:w="1400" w:type="dxa"/>
        <w:gridCol w:w="2600" w:type="dxa"/>
        <w:gridCol w:w="2000" w:type="dxa"/>
        <w:gridCol w:w="800" w:type="dxa"/>
      </w:tblGrid>
      <w:tblPr>
        <w:jc w:val="center"/>
        <w:tblW w:w="0" w:type="pct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>
          <w:trHeight w:val="700" w:hRule="atLeast"/>
        </w:trPr>
        <w:tc>
          <w:tcPr>
            <w:tcW w:w="1200" w:type="dxa"/>
            <w:vAlign w:val="center"/>
            <w:shd w:val="clear" w:color="" w:fill="CCCCCC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6"/>
                <w:szCs w:val="16"/>
                <w:b/>
              </w:rPr>
              <w:t xml:space="preserve">TEST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6"/>
                <w:szCs w:val="16"/>
                <w:b/>
              </w:rPr>
              <w:t xml:space="preserve">METHOD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6"/>
                <w:szCs w:val="16"/>
                <w:b/>
              </w:rPr>
              <w:t xml:space="preserve">COMPEDIA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6"/>
                <w:szCs w:val="16"/>
                <w:b/>
              </w:rPr>
              <w:t xml:space="preserve">SPECIFICATION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6"/>
                <w:szCs w:val="16"/>
                <w:b/>
              </w:rPr>
              <w:t xml:space="preserve">DETERMINED</w:t>
            </w:r>
          </w:p>
        </w:tc>
        <w:tc>
          <w:tcPr>
            <w:tcW w:w="800" w:type="dxa"/>
            <w:vAlign w:val="center"/>
            <w:shd w:val="clear" w:color="" w:fill="D9D9D9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6"/>
                <w:szCs w:val="16"/>
                <w:b/>
              </w:rPr>
              <w:t xml:space="preserve">REMARKS</w:t>
            </w:r>
          </w:p>
        </w:tc>
      </w:tr>
      <w:tr>
        <w:trPr>
          <w:trHeight w:val="7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Uniformity of Weight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6"/>
                <w:szCs w:val="16"/>
              </w:rPr>
              <w:t xml:space="preserve">Weight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6"/>
                <w:szCs w:val="16"/>
              </w:rPr>
              <w:t xml:space="preserve">BP 2016 Vol. V 
App XII C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6"/>
                <w:szCs w:val="16"/>
              </w:rPr>
              <w:t xml:space="preserve">NMT 2 vial deviate by more than 10% from the mean vial weight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6"/>
                <w:szCs w:val="16"/>
              </w:rPr>
              <w:t xml:space="preserve">None Deviates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7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Sterility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6"/>
                <w:szCs w:val="16"/>
              </w:rPr>
              <w:t xml:space="preserve">Membrane Filtration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6"/>
                <w:szCs w:val="16"/>
              </w:rPr>
              <w:t xml:space="preserve">BP Vol V 2016 Appendix XVI A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6"/>
                <w:szCs w:val="16"/>
              </w:rPr>
              <w:t xml:space="preserve">Powder and Diluent
No Microbial Growth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6"/>
                <w:szCs w:val="16"/>
              </w:rPr>
              <w:t xml:space="preserve">Powder and Diluent
No Microbial Growth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7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Bacterial Endotoxin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6"/>
                <w:szCs w:val="16"/>
              </w:rPr>
              <w:t xml:space="preserve">LAL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6"/>
                <w:szCs w:val="16"/>
              </w:rPr>
              <w:t xml:space="preserve">USP 38 NF 33
Page 2705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6"/>
                <w:szCs w:val="16"/>
              </w:rPr>
              <w:t xml:space="preserve">Powder
Less than  0.2 EU/mg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6"/>
                <w:szCs w:val="16"/>
              </w:rPr>
              <w:t xml:space="preserve">1.0 — 10-5  EU/mg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7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Bacterial Endotoxin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6"/>
                <w:szCs w:val="16"/>
              </w:rPr>
              <w:t xml:space="preserve">USP 38 NF 33 Page 5806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6"/>
                <w:szCs w:val="16"/>
              </w:rPr>
              <w:t xml:space="preserve">Diluent  
Less than  0.25 EU/mL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6"/>
                <w:szCs w:val="16"/>
              </w:rPr>
              <w:t xml:space="preserve">2.7 — 10-6  EU/mL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7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Identification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6"/>
                <w:szCs w:val="16"/>
              </w:rPr>
              <w:t xml:space="preserve">HPLC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6"/>
                <w:szCs w:val="16"/>
              </w:rPr>
              <w:t xml:space="preserve">USP 38 NF 33
Page 2705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6"/>
                <w:szCs w:val="16"/>
              </w:rPr>
              <w:t xml:space="preserve">RT of the major peak in  the assay sample preparation corresponds to that in the assay standard preparation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6"/>
                <w:szCs w:val="16"/>
              </w:rPr>
              <w:t xml:space="preserve">Super-imposable peak at RT 3.2 -/+ 10% min. present in both the assay sample and standard preparations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7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Acidity/Alkalinity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6"/>
                <w:szCs w:val="16"/>
              </w:rPr>
              <w:t xml:space="preserve">USP 38 NF 33
Page 2705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6"/>
                <w:szCs w:val="16"/>
              </w:rPr>
              <w:t xml:space="preserve">6.0 - 8.0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6"/>
                <w:szCs w:val="16"/>
              </w:rPr>
              <w:t xml:space="preserve">6.7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7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6"/>
                <w:szCs w:val="16"/>
              </w:rPr>
              <w:t xml:space="preserve">HPLC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6"/>
                <w:szCs w:val="16"/>
              </w:rPr>
              <w:t xml:space="preserve">USP 38 NF 33
Page 2705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6"/>
                <w:szCs w:val="16"/>
              </w:rPr>
              <w:t xml:space="preserve">90.0 - 115.0%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6"/>
                <w:szCs w:val="16"/>
              </w:rPr>
              <w:t xml:space="preserve"> 104.1%
(RSD = 1.9% ; n = 7)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</w:tbl>
    <w:p/>
    <w:p>
      <w:pPr>
        <w:jc w:val="left"/>
      </w:pPr>
      <w:r>
        <w:rPr>
          <w:b/>
        </w:rPr>
        <w:t xml:space="preserve">CONCLUSION: </w:t>
      </w:r>
      <w:r>
        <w:rPr>
          <w:sz w:val="16"/>
          <w:szCs w:val="16"/>
          <w:shd w:val="clear" w:color="" w:fill="D9D9D9"/>
        </w:rPr>
        <w:t xml:space="preserve">The sample complies with the specifications of the tests performed.</w:t>
      </w:r>
    </w:p>
    <w:p/>
    <w:tbl>
      <w:tblGrid>
        <w:gridCol w:w="1500" w:type="dxa"/>
        <w:gridCol w:w="2100" w:type="dxa"/>
        <w:gridCol w:w="2000" w:type="dxa"/>
        <w:gridCol w:w="2000" w:type="dxa"/>
      </w:tblGrid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ANALYST: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MR. F. NAULA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06-21-2016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ANALYST: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MR. M. SANGALE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06-21-2016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ANALYST: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DR. M. KWENA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07-19-2016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ANALYST: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ERNEST MBAE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09-22-2016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DIRECTOR: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HEZEKIAH CHEPKWONY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09-22-2016</w:t>
            </w:r>
          </w:p>
        </w:tc>
      </w:tr>
    </w:tbl>
    <w:sectPr>
      <w:pgSz w:orient="portrait" w:w="11908.8" w:h="16833.6"/>
      <w:pgMar w:top="2347.2" w:right="1800" w:bottom="288" w:left="180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Book Antiqua" w:hAnsi="Book Antiqua" w:eastAsia="Book Antiqua" w:cs="Book Antiqua"/>
        <w:sz w:val="20"/>
        <w:szCs w:val="20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pStyle">
    <w:name w:val="pStyle"/>
    <w:basedOn w:val="Normal"/>
    <w:pPr>
      <w:jc w:val="center"/>
      <w:spacing w:before="0" w:after="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2016-09-26T09:46:59+02:00</dcterms:created>
  <dcterms:modified xsi:type="dcterms:W3CDTF">2016-09-26T09:46:59+02:00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