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CAN/2015-16/610</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HAEMOGLOW SYRUP </w:t>
            </w:r>
          </w:p>
        </w:tc>
        <w:tc>
          <w:tcPr>
            <w:tcW w:w="3000" w:type="dxa"/>
            <w:shd w:val="clear" w:color="" w:fill="D9D9D9"/>
          </w:tcPr>
          <w:p>
            <w:pPr/>
            <w:r>
              <w:rPr/>
              <w:t xml:space="preserve">REF. NO: NDQD201501046</w:t>
            </w:r>
          </w:p>
        </w:tc>
      </w:tr>
      <w:tr>
        <w:trPr/>
        <w:tc>
          <w:tcPr>
            <w:tcW w:w="2100" w:type="dxa"/>
            <w:shd w:val="clear" w:color="" w:fill="C0C0C0"/>
          </w:tcPr>
          <w:p>
            <w:pPr>
              <w:jc w:val="center"/>
            </w:pPr>
            <w:r>
              <w:rPr>
                <w:sz w:val="22"/>
                <w:szCs w:val="22"/>
                <w:b/>
              </w:rPr>
              <w:t xml:space="preserve">DATE RECEIVED:</w:t>
            </w:r>
            <w:br/>
            <w:r>
              <w:rPr/>
              <w:t xml:space="preserve">27.01.2015</w:t>
            </w:r>
          </w:p>
        </w:tc>
        <w:tc>
          <w:tcPr>
            <w:tcW w:w="2500" w:type="dxa"/>
          </w:tcPr>
          <w:p>
            <w:pPr/>
            <w:r>
              <w:rPr>
                <w:sz w:val="22"/>
                <w:szCs w:val="22"/>
                <w:b/>
              </w:rPr>
              <w:t xml:space="preserve">LABEL CLAIM:  </w:t>
            </w:r>
          </w:p>
        </w:tc>
        <w:tc>
          <w:tcPr>
            <w:tcW w:w="5000" w:type="dxa"/>
            <w:gridSpan w:val="2"/>
          </w:tcPr>
          <w:p>
            <w:pPr/>
            <w:r>
              <w:rPr/>
              <w:t xml:space="preserve">Each 15 mL contains; Ferrous Gluconate BP 300 mg, Thiamine Mononitrate BP 5 mg, Riboflavin BP 5 mg, Pyridoxine Hydrochloride BP 1.5 mg, Niacinamide BP 45 mg, Cyanocoblamine BP (Vitamin B12) 15 mcg and Flavoured Syrup base q.s.</w:t>
            </w:r>
          </w:p>
        </w:tc>
      </w:tr>
      <w:tr>
        <w:trPr/>
        <w:tc>
          <w:tcPr>
            <w:tcW w:w="2100" w:type="dxa"/>
            <w:shd w:val="clear" w:color="" w:fill="C0C0C0"/>
          </w:tcPr>
          <w:p>
            <w:pPr>
              <w:jc w:val="center"/>
            </w:pPr>
            <w:r>
              <w:rPr>
                <w:sz w:val="22"/>
                <w:szCs w:val="22"/>
                <w:b/>
              </w:rPr>
              <w:t xml:space="preserve">BATCH NO.:</w:t>
            </w:r>
            <w:br/>
            <w:r>
              <w:rPr/>
              <w:t xml:space="preserve">FK155</w:t>
            </w:r>
          </w:p>
        </w:tc>
        <w:tc>
          <w:tcPr>
            <w:tcW w:w="2500" w:type="dxa"/>
          </w:tcPr>
          <w:p>
            <w:pPr/>
            <w:r>
              <w:rPr>
                <w:sz w:val="22"/>
                <w:szCs w:val="22"/>
                <w:b/>
              </w:rPr>
              <w:t xml:space="preserve">PRESENTATION:  </w:t>
            </w:r>
          </w:p>
        </w:tc>
        <w:tc>
          <w:tcPr>
            <w:tcW w:w="5000" w:type="dxa"/>
            <w:gridSpan w:val="2"/>
          </w:tcPr>
          <w:p>
            <w:pPr/>
            <w:r>
              <w:rPr/>
              <w:t xml:space="preserve">Brown coloured syrup for oral administration, contained in a 100 mL amber coloured plastic bottle, packed in a unit box.  
</w:t>
            </w:r>
          </w:p>
        </w:tc>
      </w:tr>
      <w:tr>
        <w:trPr/>
        <w:tc>
          <w:tcPr>
            <w:tcW w:w="2100" w:type="dxa"/>
            <w:shd w:val="clear" w:color="" w:fill="C0C0C0"/>
          </w:tcPr>
          <w:p>
            <w:pPr>
              <w:jc w:val="center"/>
            </w:pPr>
            <w:r>
              <w:rPr>
                <w:sz w:val="22"/>
                <w:szCs w:val="22"/>
                <w:b/>
              </w:rPr>
              <w:t xml:space="preserve">MGF. DATE:</w:t>
            </w:r>
            <w:br/>
            <w:r>
              <w:rPr/>
              <w:t xml:space="preserve">Oct. 2014</w:t>
            </w:r>
          </w:p>
        </w:tc>
        <w:tc>
          <w:tcPr>
            <w:tcW w:w="2500" w:type="dxa"/>
          </w:tcPr>
          <w:p>
            <w:pPr/>
            <w:r>
              <w:rPr>
                <w:sz w:val="22"/>
                <w:szCs w:val="22"/>
                <w:b/>
              </w:rPr>
              <w:t xml:space="preserve">MANUFACTURER:  </w:t>
            </w:r>
          </w:p>
        </w:tc>
        <w:tc>
          <w:tcPr>
            <w:tcW w:w="5000" w:type="dxa"/>
            <w:gridSpan w:val="2"/>
          </w:tcPr>
          <w:p>
            <w:pPr/>
            <w:r>
              <w:rPr/>
              <w:t xml:space="preserve">FINECURE Pharmaceuticals Ltd.</w:t>
            </w:r>
          </w:p>
        </w:tc>
      </w:tr>
      <w:tr>
        <w:trPr/>
        <w:tc>
          <w:tcPr>
            <w:tcW w:w="2100" w:type="dxa"/>
            <w:shd w:val="clear" w:color="" w:fill="C0C0C0"/>
          </w:tcPr>
          <w:p>
            <w:pPr>
              <w:jc w:val="center"/>
            </w:pPr>
            <w:r>
              <w:rPr>
                <w:sz w:val="22"/>
                <w:szCs w:val="22"/>
                <w:b/>
              </w:rPr>
              <w:t xml:space="preserve">EXP. DATE:</w:t>
            </w:r>
            <w:br/>
            <w:r>
              <w:rPr/>
              <w:t xml:space="preserve">    Dec. 2015</w:t>
            </w:r>
          </w:p>
        </w:tc>
        <w:tc>
          <w:tcPr>
            <w:tcW w:w="2500" w:type="dxa"/>
          </w:tcPr>
          <w:p>
            <w:pPr/>
            <w:r>
              <w:rPr>
                <w:sz w:val="22"/>
                <w:szCs w:val="22"/>
                <w:b/>
              </w:rPr>
              <w:t xml:space="preserve">ADDRESS:  </w:t>
            </w:r>
          </w:p>
        </w:tc>
        <w:tc>
          <w:tcPr>
            <w:tcW w:w="5000" w:type="dxa"/>
            <w:gridSpan w:val="2"/>
          </w:tcPr>
          <w:p>
            <w:pPr/>
            <w:r>
              <w:rPr/>
              <w:t xml:space="preserve">Shimla Pistaur, Malsa Road, Kichha,
Udhamsingh Nagar, Uttarakhand - 263148,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Jos Hansen &amp; Soehne E.A. Ltd,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Microbial Load, Identification, Assay, Acidity/Alkalinity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Microbial Load</w:t>
            </w:r>
          </w:p>
        </w:tc>
        <w:tc>
          <w:tcPr>
            <w:tcW w:w="1200" w:type="dxa"/>
          </w:tcPr>
          <w:p>
            <w:pPr>
              <w:pStyle w:val="pStyle"/>
            </w:pPr>
            <w:r>
              <w:rPr/>
              <w:t xml:space="preserve">Plate Count</w:t>
            </w:r>
          </w:p>
        </w:tc>
        <w:tc>
          <w:tcPr>
            <w:tcW w:w="1400" w:type="dxa"/>
          </w:tcPr>
          <w:p>
            <w:pPr>
              <w:pStyle w:val="pStyle"/>
            </w:pPr>
            <w:r>
              <w:rPr/>
              <w:t xml:space="preserve">B.P. 2012 Vol. V
App. XVI B</w:t>
            </w:r>
          </w:p>
        </w:tc>
        <w:tc>
          <w:tcPr>
            <w:tcW w:w="2600" w:type="dxa"/>
          </w:tcPr>
          <w:p>
            <w:pPr>
              <w:pStyle w:val="pStyle"/>
            </w:pPr>
            <w:r>
              <w:rPr/>
              <w:t xml:space="preserve">&lt; 5 x 102 Colony Forming Units (CFU) per mL</w:t>
            </w:r>
          </w:p>
        </w:tc>
        <w:tc>
          <w:tcPr>
            <w:tcW w:w="2000" w:type="dxa"/>
          </w:tcPr>
          <w:p>
            <w:pPr>
              <w:pStyle w:val="pStyle"/>
            </w:pPr>
            <w:r>
              <w:rPr/>
              <w:t xml:space="preserve">&lt; 100 CFU per mL</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UV
HPLC</w:t>
            </w:r>
          </w:p>
        </w:tc>
        <w:tc>
          <w:tcPr>
            <w:tcW w:w="1400" w:type="dxa"/>
          </w:tcPr>
          <w:p>
            <w:pPr>
              <w:pStyle w:val="pStyle"/>
            </w:pPr>
            <w:r>
              <w:rPr/>
              <w:t xml:space="preserve">Thiamine Mononitrate, Riboflavin, Pyridoxine Hydrochloride, Niacinamide and Cyanocobalamin:USP 38 NF 33 Vol.4 Page 6313-6315</w:t>
            </w:r>
          </w:p>
        </w:tc>
        <w:tc>
          <w:tcPr>
            <w:tcW w:w="2600" w:type="dxa"/>
          </w:tcPr>
          <w:p>
            <w:pPr>
              <w:pStyle w:val="pStyle"/>
            </w:pPr>
            <w:r>
              <w:rPr/>
              <w:t xml:space="preserve">Ferrous UV absorption spectra 
of the sample assay exhibits 
maxima at wavelength 
525 nm corresponding to that in the assay standard preparation.
RT of the component Peaks in  the assay sample preparation correspond to those in the assay standard preparation
</w:t>
            </w:r>
          </w:p>
        </w:tc>
        <w:tc>
          <w:tcPr>
            <w:tcW w:w="2000" w:type="dxa"/>
          </w:tcPr>
          <w:p>
            <w:pPr>
              <w:pStyle w:val="pStyle"/>
            </w:pPr>
            <w:r>
              <w:rPr/>
              <w:t xml:space="preserve">UV absorption spectra exhibited maxima at  wavelength 525 nm in both the assay sample and standard preparations.
Super-imposable peak at RT; 4.2,6.2, 9.4 and 15.2 min ÃƒÆ’Ã¢â‚¬Å¡Ãƒâ€šÃ‚Â± 10% present in both the assay sample and standard preparations.
</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
HPLC</w:t>
            </w:r>
          </w:p>
        </w:tc>
        <w:tc>
          <w:tcPr>
            <w:tcW w:w="1400" w:type="dxa"/>
          </w:tcPr>
          <w:p>
            <w:pPr>
              <w:pStyle w:val="pStyle"/>
            </w:pPr>
            <w:r>
              <w:rPr/>
              <w:t xml:space="preserve">Ferrous Gluconate Manufacturer's In House Method
USP 38 NF 33 Vol.4 Page 6313-6315</w:t>
            </w:r>
          </w:p>
        </w:tc>
        <w:tc>
          <w:tcPr>
            <w:tcW w:w="2600" w:type="dxa"/>
          </w:tcPr>
          <w:p>
            <w:pPr>
              <w:pStyle w:val="pStyle"/>
            </w:pPr>
            <w:r>
              <w:rPr/>
              <w:t xml:space="preserve">90.0 - 110.0%
90.0 - 150.0%</w:t>
            </w:r>
          </w:p>
        </w:tc>
        <w:tc>
          <w:tcPr>
            <w:tcW w:w="2000" w:type="dxa"/>
          </w:tcPr>
          <w:p>
            <w:pPr>
              <w:pStyle w:val="pStyle"/>
            </w:pPr>
            <w:r>
              <w:rPr/>
              <w:t xml:space="preserve"> Ferrous Gluconate 96.6%
(RSD = 1.3%;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
HPLC</w:t>
            </w:r>
          </w:p>
        </w:tc>
        <w:tc>
          <w:tcPr>
            <w:tcW w:w="1400" w:type="dxa"/>
          </w:tcPr>
          <w:p>
            <w:pPr>
              <w:pStyle w:val="pStyle"/>
            </w:pPr>
            <w:r>
              <w:rPr/>
              <w:t xml:space="preserve">Ferrous Gluconate Manufacturer's In House Method
USP 38 NF 33 Vol.4 Page 6313-6315</w:t>
            </w:r>
          </w:p>
        </w:tc>
        <w:tc>
          <w:tcPr>
            <w:tcW w:w="2600" w:type="dxa"/>
          </w:tcPr>
          <w:p>
            <w:pPr>
              <w:pStyle w:val="pStyle"/>
            </w:pPr>
            <w:r>
              <w:rPr/>
              <w:t xml:space="preserve">90.0 - 110.0%
90.0 - 150.0%</w:t>
            </w:r>
          </w:p>
        </w:tc>
        <w:tc>
          <w:tcPr>
            <w:tcW w:w="2000" w:type="dxa"/>
          </w:tcPr>
          <w:p>
            <w:pPr>
              <w:pStyle w:val="pStyle"/>
            </w:pPr>
            <w:r>
              <w:rPr/>
              <w:t xml:space="preserve">  Niacinamide
111.3%
(RSD = 0.4%;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
HPLC</w:t>
            </w:r>
          </w:p>
        </w:tc>
        <w:tc>
          <w:tcPr>
            <w:tcW w:w="1400" w:type="dxa"/>
          </w:tcPr>
          <w:p>
            <w:pPr>
              <w:pStyle w:val="pStyle"/>
            </w:pPr>
            <w:r>
              <w:rPr/>
              <w:t xml:space="preserve">Ferrous Gluconate Manufacturer's In House Method
USP 38 NF 33 Vol.4 Page 6313-6315</w:t>
            </w:r>
          </w:p>
        </w:tc>
        <w:tc>
          <w:tcPr>
            <w:tcW w:w="2600" w:type="dxa"/>
          </w:tcPr>
          <w:p>
            <w:pPr>
              <w:pStyle w:val="pStyle"/>
            </w:pPr>
            <w:r>
              <w:rPr/>
              <w:t xml:space="preserve">90.0 - 110.0%
90.0 - 150.0%</w:t>
            </w:r>
          </w:p>
        </w:tc>
        <w:tc>
          <w:tcPr>
            <w:tcW w:w="2000" w:type="dxa"/>
          </w:tcPr>
          <w:p>
            <w:pPr>
              <w:pStyle w:val="pStyle"/>
            </w:pPr>
            <w:r>
              <w:rPr/>
              <w:t xml:space="preserve">  Pyridoxine HCl
 118.0%
(RSD = 0.5%;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
HPLC</w:t>
            </w:r>
          </w:p>
        </w:tc>
        <w:tc>
          <w:tcPr>
            <w:tcW w:w="1400" w:type="dxa"/>
          </w:tcPr>
          <w:p>
            <w:pPr>
              <w:pStyle w:val="pStyle"/>
            </w:pPr>
            <w:r>
              <w:rPr/>
              <w:t xml:space="preserve">Ferrous Gluconate Manufacturer's In House Method
USP 38 NF 33 Vol.4 Page 6313-6315</w:t>
            </w:r>
          </w:p>
        </w:tc>
        <w:tc>
          <w:tcPr>
            <w:tcW w:w="2600" w:type="dxa"/>
          </w:tcPr>
          <w:p>
            <w:pPr>
              <w:pStyle w:val="pStyle"/>
            </w:pPr>
            <w:r>
              <w:rPr/>
              <w:t xml:space="preserve">90.0 - 110.0%
90.0 - 150.0%</w:t>
            </w:r>
          </w:p>
        </w:tc>
        <w:tc>
          <w:tcPr>
            <w:tcW w:w="2000" w:type="dxa"/>
          </w:tcPr>
          <w:p>
            <w:pPr>
              <w:pStyle w:val="pStyle"/>
            </w:pPr>
            <w:r>
              <w:rPr/>
              <w:t xml:space="preserve">  Thiamine
114.9%
(RSD = 0.2%;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
HPLC</w:t>
            </w:r>
          </w:p>
        </w:tc>
        <w:tc>
          <w:tcPr>
            <w:tcW w:w="1400" w:type="dxa"/>
          </w:tcPr>
          <w:p>
            <w:pPr>
              <w:pStyle w:val="pStyle"/>
            </w:pPr>
            <w:r>
              <w:rPr/>
              <w:t xml:space="preserve">Ferrous Gluconate Manufacturer's In House Method
USP 38 NF 33 Vol.4 Page 6313-6315</w:t>
            </w:r>
          </w:p>
        </w:tc>
        <w:tc>
          <w:tcPr>
            <w:tcW w:w="2600" w:type="dxa"/>
          </w:tcPr>
          <w:p>
            <w:pPr>
              <w:pStyle w:val="pStyle"/>
            </w:pPr>
            <w:r>
              <w:rPr/>
              <w:t xml:space="preserve">90.0 - 110.0%
90.0 - 150.0%</w:t>
            </w:r>
          </w:p>
        </w:tc>
        <w:tc>
          <w:tcPr>
            <w:tcW w:w="2000" w:type="dxa"/>
          </w:tcPr>
          <w:p>
            <w:pPr>
              <w:pStyle w:val="pStyle"/>
            </w:pPr>
            <w:r>
              <w:rPr/>
              <w:t xml:space="preserve">  Riboflavin
 117.0%
(RSD = 1.1%; n = 9)</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Acidity/Alkalinity</w:t>
            </w:r>
          </w:p>
        </w:tc>
        <w:tc>
          <w:tcPr>
            <w:tcW w:w="1200" w:type="dxa"/>
          </w:tcPr>
          <w:p>
            <w:pPr>
              <w:pStyle w:val="pStyle"/>
            </w:pPr>
            <w:r>
              <w:rPr/>
              <w:t xml:space="preserve">pH</w:t>
            </w:r>
          </w:p>
        </w:tc>
        <w:tc>
          <w:tcPr>
            <w:tcW w:w="1400" w:type="dxa"/>
          </w:tcPr>
          <w:p>
            <w:pPr>
              <w:pStyle w:val="pStyle"/>
            </w:pPr>
            <w:r>
              <w:rPr/>
              <w:t xml:space="preserve">Manufacturer's 
In - house Method</w:t>
            </w:r>
          </w:p>
        </w:tc>
        <w:tc>
          <w:tcPr>
            <w:tcW w:w="2600" w:type="dxa"/>
          </w:tcPr>
          <w:p>
            <w:pPr>
              <w:pStyle w:val="pStyle"/>
            </w:pPr>
            <w:r>
              <w:rPr/>
              <w:t xml:space="preserve">4.10 - 4.50</w:t>
            </w:r>
          </w:p>
        </w:tc>
        <w:tc>
          <w:tcPr>
            <w:tcW w:w="2000" w:type="dxa"/>
          </w:tcPr>
          <w:p>
            <w:pPr>
              <w:pStyle w:val="pStyle"/>
            </w:pPr>
            <w:r>
              <w:rPr/>
              <w:t xml:space="preserve">4.33</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F. NAULA</w:t>
            </w:r>
          </w:p>
        </w:tc>
        <w:tc>
          <w:tcPr>
            <w:tcW w:w="2500" w:type="dxa"/>
            <w:tcBorders>
              <w:bottom w:val="single" w:sz="1" w:color="000000"/>
            </w:tcBorders>
          </w:tcPr>
          <w:p/>
        </w:tc>
        <w:tc>
          <w:tcPr>
            <w:tcW w:w="2500" w:type="dxa"/>
          </w:tcPr>
          <w:p>
            <w:pPr>
              <w:pStyle w:val="UTF-8"/>
            </w:pPr>
            <w:r>
              <w:t xml:space="preserve">DATE: 21-12-2015</w:t>
            </w:r>
          </w:p>
        </w:tc>
      </w:tr>
      <w:tr>
        <w:trPr>
          <w:trHeight w:val="100" w:hRule="atLeast"/>
        </w:trPr>
        <w:tc>
          <w:tcPr>
            <w:tcW w:w="1500" w:type="dxa"/>
          </w:tcPr>
          <w:p>
            <w:pPr/>
            <w:r>
              <w:rPr/>
              <w:t xml:space="preserve">ANALYST:</w:t>
            </w:r>
          </w:p>
        </w:tc>
        <w:tc>
          <w:tcPr>
            <w:tcW w:w="3000" w:type="dxa"/>
          </w:tcPr>
          <w:p>
            <w:pPr/>
            <w:r>
              <w:rPr/>
              <w:t xml:space="preserve">DR. K. BOTA</w:t>
            </w:r>
          </w:p>
        </w:tc>
        <w:tc>
          <w:tcPr>
            <w:tcW w:w="2500" w:type="dxa"/>
            <w:tcBorders>
              <w:bottom w:val="single" w:sz="1" w:color="000000"/>
            </w:tcBorders>
          </w:tcPr>
          <w:p/>
        </w:tc>
        <w:tc>
          <w:tcPr>
            <w:tcW w:w="2500" w:type="dxa"/>
          </w:tcPr>
          <w:p>
            <w:pPr>
              <w:pStyle w:val="UTF-8"/>
            </w:pPr>
            <w:r>
              <w:t xml:space="preserve">DATE: 21-12-2015</w:t>
            </w:r>
          </w:p>
        </w:tc>
      </w:tr>
      <w:tr>
        <w:trPr>
          <w:trHeight w:val="100" w:hRule="atLeast"/>
        </w:trPr>
        <w:tc>
          <w:tcPr>
            <w:tcW w:w="1500" w:type="dxa"/>
          </w:tcPr>
          <w:p>
            <w:pPr/>
            <w:r>
              <w:rPr/>
              <w:t xml:space="preserve">ANALYST:</w:t>
            </w:r>
          </w:p>
        </w:tc>
        <w:tc>
          <w:tcPr>
            <w:tcW w:w="3000" w:type="dxa"/>
          </w:tcPr>
          <w:p>
            <w:pPr/>
            <w:r>
              <w:rPr/>
              <w:t xml:space="preserve">DR. G. WANG'ANG'A</w:t>
            </w:r>
          </w:p>
        </w:tc>
        <w:tc>
          <w:tcPr>
            <w:tcW w:w="2500" w:type="dxa"/>
            <w:tcBorders>
              <w:bottom w:val="single" w:sz="1" w:color="000000"/>
            </w:tcBorders>
          </w:tcPr>
          <w:p/>
        </w:tc>
        <w:tc>
          <w:tcPr>
            <w:tcW w:w="2500" w:type="dxa"/>
          </w:tcPr>
          <w:p>
            <w:pPr>
              <w:pStyle w:val="UTF-8"/>
            </w:pPr>
            <w:r>
              <w:t xml:space="preserve">DATE: 21-12-2015</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DATE:12-23-2015</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DATE:05-10-2016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2016-05-17T10:53:36+02:00</dcterms:created>
  <dcterms:modified xsi:type="dcterms:W3CDTF">2016-05-17T10:53:36+02:00</dcterms:modified>
</cp:coreProperties>
</file>

<file path=docProps/custom.xml><?xml version="1.0" encoding="utf-8"?>
<Properties xmlns="http://schemas.openxmlformats.org/officeDocument/2006/custom-properties" xmlns:vt="http://schemas.openxmlformats.org/officeDocument/2006/docPropsVTypes"/>
</file>