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36"/>
          <w:szCs w:val="36"/>
          <w:b/>
        </w:rPr>
        <w:t xml:space="preserve">CERTIFICATE OF ANALYSIS</w:t>
      </w:r>
    </w:p>
    <w:p>
      <w:pPr>
        <w:jc w:val="center"/>
      </w:pPr>
      <w:r>
        <w:rPr>
          <w:sz w:val="26"/>
          <w:szCs w:val="26"/>
          <w:b/>
        </w:rPr>
        <w:t xml:space="preserve">CERTIFICATE No: </w:t>
      </w:r>
      <w:r>
        <w:rPr>
          <w:sz w:val="26"/>
          <w:szCs w:val="26"/>
          <w:u w:val="single"/>
        </w:rPr>
        <w:t xml:space="preserve"> CAN/2015-16/XYZ</w:t>
      </w:r>
    </w:p>
    <w:tbl>
      <w:tblGrid>
        <w:gridCol w:w="2100" w:type="dxa"/>
        <w:gridCol w:w="6000" w:type="dxa"/>
        <w:gridCol w:w="3000" w:type="dxa"/>
      </w:tblGrid>
      <w:tblPr>
        <w:jc w:val="center"/>
        <w:tblW w:w="6642.25" w:type="pct"/>
      </w:tblPr>
      <w:tr>
        <w:trPr/>
        <w:tc>
          <w:tcPr>
            <w:tcW w:w="2100" w:type="dxa"/>
            <w:shd w:val="clear" w:color="" w:fill="D9D9D9"/>
          </w:tcPr>
          <w:p>
            <w:pPr/>
            <w:r>
              <w:rPr>
                <w:sz w:val="22"/>
                <w:szCs w:val="22"/>
                <w:b/>
              </w:rPr>
              <w:t xml:space="preserve">PRODUCT</w:t>
            </w:r>
          </w:p>
        </w:tc>
        <w:tc>
          <w:tcPr>
            <w:tcW w:w="6000" w:type="dxa"/>
            <w:shd w:val="clear" w:color="" w:fill="D9D9D9"/>
            <w:gridSpan w:val="2"/>
          </w:tcPr>
          <w:p>
            <w:pPr/>
            <w:r>
              <w:rPr/>
              <w:t xml:space="preserve">HEPTAVIR - 150 TABLETS</w:t>
            </w:r>
          </w:p>
        </w:tc>
        <w:tc>
          <w:tcPr>
            <w:tcW w:w="3000" w:type="dxa"/>
            <w:shd w:val="clear" w:color="" w:fill="D9D9D9"/>
          </w:tcPr>
          <w:p>
            <w:pPr/>
            <w:r>
              <w:rPr/>
              <w:t xml:space="preserve">REF. NO: NDQD201508092</w:t>
            </w:r>
          </w:p>
        </w:tc>
      </w:tr>
      <w:tr>
        <w:trPr/>
        <w:tc>
          <w:tcPr>
            <w:tcW w:w="2100" w:type="dxa"/>
            <w:shd w:val="clear" w:color="" w:fill="C0C0C0"/>
          </w:tcPr>
          <w:p>
            <w:pPr>
              <w:jc w:val="center"/>
            </w:pPr>
            <w:r>
              <w:rPr>
                <w:sz w:val="22"/>
                <w:szCs w:val="22"/>
                <w:b/>
              </w:rPr>
              <w:t xml:space="preserve">DATE RECEIVED:</w:t>
            </w:r>
            <w:br/>
            <w:r>
              <w:rPr/>
              <w:t xml:space="preserve">06.08.2015</w:t>
            </w:r>
          </w:p>
        </w:tc>
        <w:tc>
          <w:tcPr>
            <w:tcW w:w="2500" w:type="dxa"/>
          </w:tcPr>
          <w:p>
            <w:pPr/>
            <w:r>
              <w:rPr>
                <w:sz w:val="22"/>
                <w:szCs w:val="22"/>
                <w:b/>
              </w:rPr>
              <w:t xml:space="preserve">LABEL CLAIM:  </w:t>
            </w:r>
          </w:p>
        </w:tc>
        <w:tc>
          <w:tcPr>
            <w:tcW w:w="5000" w:type="dxa"/>
            <w:gridSpan w:val="2"/>
          </w:tcPr>
          <w:p>
            <w:pPr/>
            <w:r>
              <w:rPr/>
              <w:t xml:space="preserve">Each film coated tablet contains: Lamivudine USP 150 mg.</w:t>
            </w:r>
          </w:p>
        </w:tc>
      </w:tr>
      <w:tr>
        <w:trPr/>
        <w:tc>
          <w:tcPr>
            <w:tcW w:w="2100" w:type="dxa"/>
            <w:shd w:val="clear" w:color="" w:fill="C0C0C0"/>
          </w:tcPr>
          <w:p>
            <w:pPr>
              <w:jc w:val="center"/>
            </w:pPr>
            <w:r>
              <w:rPr>
                <w:sz w:val="22"/>
                <w:szCs w:val="22"/>
                <w:b/>
              </w:rPr>
              <w:t xml:space="preserve">BATCH NO.:</w:t>
            </w:r>
            <w:br/>
            <w:r>
              <w:rPr/>
              <w:t xml:space="preserve">E141000</w:t>
            </w:r>
          </w:p>
        </w:tc>
        <w:tc>
          <w:tcPr>
            <w:tcW w:w="2500" w:type="dxa"/>
          </w:tcPr>
          <w:p>
            <w:pPr/>
            <w:r>
              <w:rPr>
                <w:sz w:val="22"/>
                <w:szCs w:val="22"/>
                <w:b/>
              </w:rPr>
              <w:t xml:space="preserve">PRESENTATION:  </w:t>
            </w:r>
          </w:p>
        </w:tc>
        <w:tc>
          <w:tcPr>
            <w:tcW w:w="5000" w:type="dxa"/>
            <w:gridSpan w:val="2"/>
          </w:tcPr>
          <w:p>
            <w:pPr/>
            <w:r>
              <w:rPr/>
              <w:t xml:space="preserve">Brown colored, caplet shaped, biconvex faced tablets, single scored on one face and embossed 'H' and 'V' on either side of the score and '150' on the opposite unscored face, packed in a white plastic multi-dose container carrying 60 tablets in a unit box.</w:t>
            </w:r>
          </w:p>
        </w:tc>
      </w:tr>
      <w:tr>
        <w:trPr/>
        <w:tc>
          <w:tcPr>
            <w:tcW w:w="2100" w:type="dxa"/>
            <w:shd w:val="clear" w:color="" w:fill="C0C0C0"/>
          </w:tcPr>
          <w:p>
            <w:pPr>
              <w:jc w:val="center"/>
            </w:pPr>
            <w:r>
              <w:rPr>
                <w:sz w:val="22"/>
                <w:szCs w:val="22"/>
                <w:b/>
              </w:rPr>
              <w:t xml:space="preserve">MGF. DATE:</w:t>
            </w:r>
            <w:br/>
            <w:r>
              <w:rPr/>
              <w:t xml:space="preserve">Jun. 2014</w:t>
            </w:r>
          </w:p>
        </w:tc>
        <w:tc>
          <w:tcPr>
            <w:tcW w:w="2500" w:type="dxa"/>
          </w:tcPr>
          <w:p>
            <w:pPr/>
            <w:r>
              <w:rPr>
                <w:sz w:val="22"/>
                <w:szCs w:val="22"/>
                <w:b/>
              </w:rPr>
              <w:t xml:space="preserve">MANUFACTURER:  </w:t>
            </w:r>
          </w:p>
        </w:tc>
        <w:tc>
          <w:tcPr>
            <w:tcW w:w="5000" w:type="dxa"/>
            <w:gridSpan w:val="2"/>
          </w:tcPr>
          <w:p>
            <w:pPr/>
            <w:r>
              <w:rPr/>
              <w:t xml:space="preserve">HETERO Labs Limited.</w:t>
            </w:r>
          </w:p>
        </w:tc>
      </w:tr>
      <w:tr>
        <w:trPr/>
        <w:tc>
          <w:tcPr>
            <w:tcW w:w="2100" w:type="dxa"/>
            <w:shd w:val="clear" w:color="" w:fill="C0C0C0"/>
          </w:tcPr>
          <w:p>
            <w:pPr>
              <w:jc w:val="center"/>
            </w:pPr>
            <w:r>
              <w:rPr>
                <w:sz w:val="22"/>
                <w:szCs w:val="22"/>
                <w:b/>
              </w:rPr>
              <w:t xml:space="preserve">EXP. DATE:</w:t>
            </w:r>
            <w:br/>
            <w:r>
              <w:rPr/>
              <w:t xml:space="preserve">May 2017</w:t>
            </w:r>
          </w:p>
        </w:tc>
        <w:tc>
          <w:tcPr>
            <w:tcW w:w="2500" w:type="dxa"/>
          </w:tcPr>
          <w:p>
            <w:pPr/>
            <w:r>
              <w:rPr>
                <w:sz w:val="22"/>
                <w:szCs w:val="22"/>
                <w:b/>
              </w:rPr>
              <w:t xml:space="preserve">ADDRESS:  </w:t>
            </w:r>
          </w:p>
        </w:tc>
        <w:tc>
          <w:tcPr>
            <w:tcW w:w="5000" w:type="dxa"/>
            <w:gridSpan w:val="2"/>
          </w:tcPr>
          <w:p>
            <w:pPr/>
            <w:r>
              <w:rPr/>
              <w:t xml:space="preserve">22 - 110, I.D.A., Jeedimetla,
Hyderabad - 500 055,
INDIA.
</w:t>
            </w:r>
          </w:p>
        </w:tc>
      </w:tr>
      <w:tr>
        <w:trPr/>
        <w:tc>
          <w:tcPr>
            <w:tcW w:w="2100" w:type="dxa"/>
            <w:shd w:val="clear" w:color="" w:fill="C0C0C0"/>
          </w:tcPr>
          <w:p>
            <w:pPr>
              <w:jc w:val="center"/>
            </w:pPr>
            <w:r>
              <w:rPr>
                <w:sz w:val="22"/>
                <w:szCs w:val="22"/>
                <w:b/>
              </w:rPr>
              <w:t xml:space="preserve">CLIENT REF NO:</w:t>
            </w:r>
          </w:p>
        </w:tc>
        <w:tc>
          <w:tcPr>
            <w:tcW w:w="2500" w:type="dxa"/>
          </w:tcPr>
          <w:p>
            <w:pPr/>
            <w:r>
              <w:rPr>
                <w:sz w:val="22"/>
                <w:szCs w:val="22"/>
                <w:b/>
              </w:rPr>
              <w:t xml:space="preserve">CLIENT:  </w:t>
            </w:r>
          </w:p>
        </w:tc>
        <w:tc>
          <w:tcPr>
            <w:tcW w:w="5000" w:type="dxa"/>
            <w:gridSpan w:val="2"/>
          </w:tcPr>
          <w:p>
            <w:pPr/>
            <w:r>
              <w:rPr/>
              <w:t xml:space="preserve">National AIDS and STI Control Programme P.O. BOX 19361 Nairobi</w:t>
            </w:r>
          </w:p>
        </w:tc>
      </w:tr>
      <w:tr>
        <w:trPr/>
        <w:tc>
          <w:tcPr>
            <w:tcW w:w="2100" w:type="dxa"/>
            <w:shd w:val="clear" w:color="" w:fill="C0C0C0"/>
          </w:tcPr>
          <w:p>
            <w:pPr>
              <w:jc w:val="center"/>
            </w:pPr>
            <w:r>
              <w:rPr/>
              <w:t xml:space="preserve"/>
            </w:r>
          </w:p>
        </w:tc>
        <w:tc>
          <w:tcPr>
            <w:tcW w:w="2100" w:type="dxa"/>
          </w:tcPr>
          <w:p>
            <w:pPr/>
            <w:r>
              <w:rPr>
                <w:sz w:val="22"/>
                <w:szCs w:val="22"/>
                <w:b/>
              </w:rPr>
              <w:t xml:space="preserve">TEST(S) REQUESTED:  </w:t>
            </w:r>
          </w:p>
        </w:tc>
        <w:tc>
          <w:tcPr>
            <w:tcW w:w="5000" w:type="dxa"/>
            <w:gridSpan w:val="2"/>
          </w:tcPr>
          <w:p>
            <w:pPr/>
            <w:r>
              <w:rPr/>
              <w:t xml:space="preserve">Uniformity of Weight, Identification, Dissolution, Assay</w:t>
            </w:r>
          </w:p>
        </w:tc>
      </w:tr>
    </w:tbl>
    <w:p/>
    <w:p/>
    <w:tbl>
      <w:tblGrid>
        <w:gridCol w:w="1200" w:type="dxa"/>
        <w:gridCol w:w="1200" w:type="dxa"/>
        <w:gridCol w:w="1400" w:type="dxa"/>
        <w:gridCol w:w="2600" w:type="dxa"/>
        <w:gridCol w:w="2000" w:type="dxa"/>
        <w:gridCol w:w="800" w:type="dxa"/>
      </w:tblGrid>
      <w:tblPr>
        <w:jc w:val="center"/>
        <w:tblW w:w="6400" w:type="pct"/>
        <w:tblBorders>
          <w:top w:val="single" w:sz="1" w:color="000000"/>
          <w:left w:val="single" w:sz="1" w:color="000000"/>
          <w:right w:val="single" w:sz="1" w:color="000000"/>
          <w:bottom w:val="single" w:sz="1" w:color="000000"/>
          <w:insideH w:val="single" w:sz="1" w:color="000000"/>
          <w:insideV w:val="single" w:sz="1" w:color="000000"/>
        </w:tblBorders>
      </w:tblPr>
      <w:tr>
        <w:trPr/>
        <w:tc>
          <w:tcPr>
            <w:tcW w:w="1200" w:type="dxa"/>
            <w:shd w:val="clear" w:color="" w:fill="CCCCCC"/>
          </w:tcPr>
          <w:p>
            <w:pPr>
              <w:pStyle w:val="pStyle"/>
            </w:pPr>
            <w:r>
              <w:rPr>
                <w:rFonts w:ascii="Book Antiqua" w:hAnsi="Book Antiqua" w:eastAsia="Book Antiqua" w:cs="Book Antiqua"/>
                <w:sz w:val="18"/>
                <w:szCs w:val="18"/>
                <w:b/>
              </w:rPr>
              <w:t xml:space="preserve">TEST</w:t>
            </w:r>
          </w:p>
        </w:tc>
        <w:tc>
          <w:tcPr>
            <w:tcW w:w="1200" w:type="dxa"/>
          </w:tcPr>
          <w:p>
            <w:pPr>
              <w:pStyle w:val="pStyle"/>
            </w:pPr>
            <w:r>
              <w:rPr>
                <w:rFonts w:ascii="Book Antiqua" w:hAnsi="Book Antiqua" w:eastAsia="Book Antiqua" w:cs="Book Antiqua"/>
                <w:sz w:val="18"/>
                <w:szCs w:val="18"/>
                <w:b/>
              </w:rPr>
              <w:t xml:space="preserve">METHOD</w:t>
            </w:r>
          </w:p>
        </w:tc>
        <w:tc>
          <w:tcPr>
            <w:tcW w:w="1400" w:type="dxa"/>
          </w:tcPr>
          <w:p>
            <w:pPr>
              <w:pStyle w:val="pStyle"/>
            </w:pPr>
            <w:r>
              <w:rPr>
                <w:rFonts w:ascii="Book Antiqua" w:hAnsi="Book Antiqua" w:eastAsia="Book Antiqua" w:cs="Book Antiqua"/>
                <w:sz w:val="18"/>
                <w:szCs w:val="18"/>
                <w:b/>
              </w:rPr>
              <w:t xml:space="preserve">COMPEDIA</w:t>
            </w:r>
          </w:p>
        </w:tc>
        <w:tc>
          <w:tcPr>
            <w:tcW w:w="2600" w:type="dxa"/>
          </w:tcPr>
          <w:p>
            <w:pPr>
              <w:pStyle w:val="pStyle"/>
            </w:pPr>
            <w:r>
              <w:rPr>
                <w:rFonts w:ascii="Book Antiqua" w:hAnsi="Book Antiqua" w:eastAsia="Book Antiqua" w:cs="Book Antiqua"/>
                <w:sz w:val="18"/>
                <w:szCs w:val="18"/>
                <w:b/>
              </w:rPr>
              <w:t xml:space="preserve">SPECIFICATION</w:t>
            </w:r>
          </w:p>
        </w:tc>
        <w:tc>
          <w:tcPr>
            <w:tcW w:w="2000" w:type="dxa"/>
          </w:tcPr>
          <w:p>
            <w:pPr>
              <w:pStyle w:val="pStyle"/>
            </w:pPr>
            <w:r>
              <w:rPr>
                <w:rFonts w:ascii="Book Antiqua" w:hAnsi="Book Antiqua" w:eastAsia="Book Antiqua" w:cs="Book Antiqua"/>
                <w:sz w:val="18"/>
                <w:szCs w:val="18"/>
                <w:b/>
              </w:rPr>
              <w:t xml:space="preserve">DETERMINED</w:t>
            </w:r>
          </w:p>
        </w:tc>
        <w:tc>
          <w:tcPr>
            <w:tcW w:w="800" w:type="dxa"/>
            <w:shd w:val="clear" w:color="" w:fill="D9D9D9"/>
          </w:tcPr>
          <w:p>
            <w:pPr>
              <w:pStyle w:val="pStyle"/>
            </w:pPr>
            <w:r>
              <w:rPr>
                <w:rFonts w:ascii="Book Antiqua" w:hAnsi="Book Antiqua" w:eastAsia="Book Antiqua" w:cs="Book Antiqua"/>
                <w:sz w:val="18"/>
                <w:szCs w:val="18"/>
                <w:b/>
              </w:rPr>
              <w:t xml:space="preserve">REMARKS</w:t>
            </w:r>
          </w:p>
        </w:tc>
      </w:tr>
      <w:tr>
        <w:trPr/>
        <w:tc>
          <w:tcPr>
            <w:tcW w:w="1200" w:type="dxa"/>
            <w:shd w:val="clear" w:color="" w:fill="dbdbdb"/>
          </w:tcPr>
          <w:p>
            <w:pPr>
              <w:pStyle w:val="pStyle"/>
            </w:pPr>
            <w:r>
              <w:rPr>
                <w:b/>
              </w:rPr>
              <w:t xml:space="preserve">Uniformity of Weight</w:t>
            </w:r>
          </w:p>
        </w:tc>
        <w:tc>
          <w:tcPr>
            <w:tcW w:w="1200" w:type="dxa"/>
          </w:tcPr>
          <w:p>
            <w:pPr>
              <w:pStyle w:val="pStyle"/>
            </w:pPr>
            <w:r>
              <w:rPr/>
              <w:t xml:space="preserve">Weight</w:t>
            </w:r>
          </w:p>
        </w:tc>
        <w:tc>
          <w:tcPr>
            <w:tcW w:w="1400" w:type="dxa"/>
          </w:tcPr>
          <w:p>
            <w:pPr>
              <w:pStyle w:val="pStyle"/>
            </w:pPr>
            <w:r>
              <w:rPr/>
              <w:t xml:space="preserve">B.P. 2012 Vol. V
 App XII C</w:t>
            </w:r>
          </w:p>
        </w:tc>
        <w:tc>
          <w:tcPr>
            <w:tcW w:w="2600" w:type="dxa"/>
          </w:tcPr>
          <w:p>
            <w:pPr>
              <w:pStyle w:val="pStyle"/>
            </w:pPr>
            <w:r>
              <w:rPr/>
              <w:t xml:space="preserve">NMT 2 tablets deviate by more than 5% from mean weight</w:t>
            </w:r>
          </w:p>
        </w:tc>
        <w:tc>
          <w:tcPr>
            <w:tcW w:w="2000" w:type="dxa"/>
          </w:tcPr>
          <w:p>
            <w:pPr>
              <w:pStyle w:val="pStyle"/>
            </w:pPr>
            <w:r>
              <w:rPr/>
              <w:t xml:space="preserve">None Deviates</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Identification</w:t>
            </w:r>
          </w:p>
        </w:tc>
        <w:tc>
          <w:tcPr>
            <w:tcW w:w="1200" w:type="dxa"/>
          </w:tcPr>
          <w:p>
            <w:pPr>
              <w:pStyle w:val="pStyle"/>
            </w:pPr>
            <w:r>
              <w:rPr/>
              <w:t xml:space="preserve">HPLC</w:t>
            </w:r>
          </w:p>
        </w:tc>
        <w:tc>
          <w:tcPr>
            <w:tcW w:w="1400" w:type="dxa"/>
          </w:tcPr>
          <w:p>
            <w:pPr>
              <w:pStyle w:val="pStyle"/>
            </w:pPr>
            <w:r>
              <w:rPr/>
              <w:t xml:space="preserve">Adopted 
In-House Method</w:t>
            </w:r>
          </w:p>
        </w:tc>
        <w:tc>
          <w:tcPr>
            <w:tcW w:w="2600" w:type="dxa"/>
          </w:tcPr>
          <w:p>
            <w:pPr>
              <w:pStyle w:val="pStyle"/>
            </w:pPr>
            <w:r>
              <w:rPr/>
              <w:t xml:space="preserve">RT of the major peak in  the assay sample preparation corresponds to that in standard preparation</w:t>
            </w:r>
          </w:p>
        </w:tc>
        <w:tc>
          <w:tcPr>
            <w:tcW w:w="2000" w:type="dxa"/>
          </w:tcPr>
          <w:p>
            <w:pPr>
              <w:pStyle w:val="pStyle"/>
            </w:pPr>
            <w:r>
              <w:rPr/>
              <w:t xml:space="preserve">Super-imposable peak at RT  2.9 Ã‚Â± 10% min. present in both the assay sample and  standard preparations</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Dissolution</w:t>
            </w:r>
          </w:p>
        </w:tc>
        <w:tc>
          <w:tcPr>
            <w:tcW w:w="1200" w:type="dxa"/>
          </w:tcPr>
          <w:p>
            <w:pPr>
              <w:pStyle w:val="pStyle"/>
            </w:pPr>
            <w:r>
              <w:rPr/>
              <w:t xml:space="preserve">HPLC</w:t>
            </w:r>
          </w:p>
        </w:tc>
        <w:tc>
          <w:tcPr>
            <w:tcW w:w="1400" w:type="dxa"/>
          </w:tcPr>
          <w:p>
            <w:pPr>
              <w:pStyle w:val="pStyle"/>
            </w:pPr>
            <w:r>
              <w:rPr/>
              <w:t xml:space="preserve">Adopted 
In-House Method</w:t>
            </w:r>
          </w:p>
        </w:tc>
        <w:tc>
          <w:tcPr>
            <w:tcW w:w="2600" w:type="dxa"/>
          </w:tcPr>
          <w:p>
            <w:pPr>
              <w:pStyle w:val="pStyle"/>
            </w:pPr>
            <w:r>
              <w:rPr/>
              <w:t xml:space="preserve">No tablet less than 80.0%
[n=6]
</w:t>
            </w:r>
          </w:p>
        </w:tc>
        <w:tc>
          <w:tcPr>
            <w:tcW w:w="2000" w:type="dxa"/>
          </w:tcPr>
          <w:p>
            <w:pPr>
              <w:pStyle w:val="pStyle"/>
            </w:pPr>
            <w:r>
              <w:rPr/>
              <w:t xml:space="preserve">104.4%
(RSD = 0.2%; n = 6)</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Assay</w:t>
            </w:r>
          </w:p>
        </w:tc>
        <w:tc>
          <w:tcPr>
            <w:tcW w:w="1200" w:type="dxa"/>
          </w:tcPr>
          <w:p>
            <w:pPr>
              <w:pStyle w:val="pStyle"/>
            </w:pPr>
            <w:r>
              <w:rPr/>
              <w:t xml:space="preserve">HPLC</w:t>
            </w:r>
          </w:p>
        </w:tc>
        <w:tc>
          <w:tcPr>
            <w:tcW w:w="1400" w:type="dxa"/>
          </w:tcPr>
          <w:p>
            <w:pPr>
              <w:pStyle w:val="pStyle"/>
            </w:pPr>
            <w:r>
              <w:rPr/>
              <w:t xml:space="preserve">Adopted 
In-House Method</w:t>
            </w:r>
          </w:p>
        </w:tc>
        <w:tc>
          <w:tcPr>
            <w:tcW w:w="2600" w:type="dxa"/>
          </w:tcPr>
          <w:p>
            <w:pPr>
              <w:pStyle w:val="pStyle"/>
            </w:pPr>
            <w:r>
              <w:rPr/>
              <w:t xml:space="preserve">90.0 -110.0%</w:t>
            </w:r>
          </w:p>
        </w:tc>
        <w:tc>
          <w:tcPr>
            <w:tcW w:w="2000" w:type="dxa"/>
          </w:tcPr>
          <w:p>
            <w:pPr>
              <w:pStyle w:val="pStyle"/>
            </w:pPr>
            <w:r>
              <w:rPr/>
              <w:t xml:space="preserve">  99.5%
(RSD = 1.7%; n = 9)</w:t>
            </w:r>
          </w:p>
        </w:tc>
        <w:tc>
          <w:tcPr>
            <w:tcW w:w="800" w:type="dxa"/>
            <w:shd w:val="clear" w:color="" w:fill="dbdbdb"/>
          </w:tcPr>
          <w:p>
            <w:pPr>
              <w:pStyle w:val="pStyle"/>
            </w:pPr>
            <w:r>
              <w:rPr>
                <w:b/>
              </w:rPr>
              <w:t xml:space="preserve">COMPLIES</w:t>
            </w:r>
          </w:p>
        </w:tc>
      </w:tr>
    </w:tbl>
    <w:p/>
    <w:p>
      <w:pPr>
        <w:jc w:val="left"/>
      </w:pPr>
      <w:r>
        <w:rPr>
          <w:b/>
        </w:rPr>
        <w:t xml:space="preserve">CONCLUSION: </w:t>
      </w:r>
      <w:r>
        <w:rPr>
          <w:shd w:val="clear" w:color="" w:fill="D9D9D9"/>
        </w:rPr>
        <w:t xml:space="preserve">The product complies with the specifications for the tests performed.</w:t>
      </w:r>
    </w:p>
    <w:tbl>
      <w:tblGrid>
        <w:gridCol w:w="1500" w:type="dxa"/>
        <w:gridCol w:w="3000" w:type="dxa"/>
        <w:gridCol w:w="2500" w:type="dxa"/>
        <w:gridCol w:w="2500" w:type="dxa"/>
      </w:tblGrid>
      <w:tr>
        <w:trPr>
          <w:trHeight w:val="100" w:hRule="atLeast"/>
        </w:trPr>
        <w:tc>
          <w:tcPr>
            <w:tcW w:w="1500" w:type="dxa"/>
          </w:tcPr>
          <w:p>
            <w:pPr/>
            <w:r>
              <w:rPr/>
              <w:t xml:space="preserve">NULL</w:t>
            </w:r>
          </w:p>
        </w:tc>
        <w:tc>
          <w:tcPr>
            <w:tcW w:w="3000" w:type="dxa"/>
          </w:tcPr>
          <w:p>
            <w:pPr/>
            <w:r>
              <w:rPr/>
              <w:t xml:space="preserve">NULL</w:t>
            </w:r>
          </w:p>
        </w:tc>
        <w:tc>
          <w:tcPr>
            <w:tcW w:w="2500" w:type="dxa"/>
            <w:tcBorders>
              <w:bottom w:val="single" w:sz="1" w:color="000000"/>
            </w:tcBorders>
          </w:tcPr>
          <w:p/>
        </w:tc>
        <w:tc>
          <w:tcPr>
            <w:tcW w:w="2500" w:type="dxa"/>
          </w:tcPr>
          <w:p>
            <w:pPr>
              <w:pStyle w:val="UTF-8"/>
            </w:pPr>
            <w:r>
              <w:t xml:space="preserve">DATE:null</w:t>
            </w:r>
          </w:p>
        </w:tc>
      </w:tr>
      <w:tr>
        <w:trPr>
          <w:trHeight w:val="100" w:hRule="atLeast"/>
        </w:trPr>
        <w:tc>
          <w:tcPr>
            <w:tcW w:w="1500" w:type="dxa"/>
          </w:tcPr>
          <w:p>
            <w:pPr/>
            <w:r>
              <w:rPr/>
              <w:t xml:space="preserve">DIRECTOR:</w:t>
            </w:r>
          </w:p>
        </w:tc>
        <w:tc>
          <w:tcPr>
            <w:tcW w:w="3000" w:type="dxa"/>
          </w:tcPr>
          <w:p>
            <w:pPr/>
            <w:r>
              <w:rPr/>
              <w:t xml:space="preserve">HEZEKIAH CHEPKWONY</w:t>
            </w:r>
          </w:p>
        </w:tc>
        <w:tc>
          <w:tcPr>
            <w:tcW w:w="2500" w:type="dxa"/>
            <w:tcBorders>
              <w:bottom w:val="single" w:sz="1" w:color="000000"/>
            </w:tcBorders>
          </w:tcPr>
          <w:p/>
        </w:tc>
        <w:tc>
          <w:tcPr>
            <w:tcW w:w="2500" w:type="dxa"/>
          </w:tcPr>
          <w:p>
            <w:pPr>
              <w:pStyle w:val="UTF-8"/>
            </w:pPr>
            <w:r>
              <w:t xml:space="preserve">DATE:11-05-2015</w:t>
            </w:r>
          </w:p>
        </w:tc>
      </w:tr>
    </w:tbl>
    <w:sectPr>
      <w:pgSz w:orient="portrait" w:w="11908.8" w:h="16833.6"/>
      <w:pgMar w:top="2347.2" w:right="1800" w:bottom="288" w:left="180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Book Antiqua" w:hAnsi="Book Antiqua" w:eastAsia="Book Antiqua" w:cs="Book Antiqua"/>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Style">
    <w:name w:val="pStyle"/>
    <w:basedOn w:val="Normal"/>
    <w:pPr>
      <w:jc w:val="cente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2015-11-09T07:57:41+01:00</dcterms:created>
  <dcterms:modified xsi:type="dcterms:W3CDTF">2015-11-09T07:57:41+01:00</dcterms:modified>
</cp:coreProperties>
</file>

<file path=docProps/custom.xml><?xml version="1.0" encoding="utf-8"?>
<Properties xmlns="http://schemas.openxmlformats.org/officeDocument/2006/custom-properties" xmlns:vt="http://schemas.openxmlformats.org/officeDocument/2006/docPropsVTypes"/>
</file>