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CAN/2015-16/431</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EFAVIRENZ, LAMIVUDINE and TENOFOVIR DISOPROXIL FUMARATE TABLETS 600 mg/ 300 mg/ 300 mg</w:t>
            </w:r>
          </w:p>
        </w:tc>
        <w:tc>
          <w:tcPr>
            <w:tcW w:w="3000" w:type="dxa"/>
            <w:shd w:val="clear" w:color="" w:fill="D9D9D9"/>
          </w:tcPr>
          <w:p>
            <w:pPr/>
            <w:r>
              <w:rPr/>
              <w:t xml:space="preserve">REF. NO: NDQD201508134</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film coated tablet contains 600 mg of Efavirenz USP, 300 mg of Lamivudine USP and 300 mg of Tenofovir Disoproxil Fumarate, which is equivalent to 245 mg of Tenofovir Disoproxil.</w:t>
            </w:r>
          </w:p>
        </w:tc>
      </w:tr>
      <w:tr>
        <w:trPr/>
        <w:tc>
          <w:tcPr>
            <w:tcW w:w="2100" w:type="dxa"/>
            <w:shd w:val="clear" w:color="" w:fill="C0C0C0"/>
          </w:tcPr>
          <w:p>
            <w:pPr>
              <w:jc w:val="center"/>
            </w:pPr>
            <w:r>
              <w:rPr>
                <w:sz w:val="22"/>
                <w:szCs w:val="22"/>
                <w:b/>
              </w:rPr>
              <w:t xml:space="preserve">BATCH NO.:</w:t>
            </w:r>
            <w:br/>
            <w:r>
              <w:rPr/>
              <w:t xml:space="preserve">E140433A</w:t>
            </w:r>
          </w:p>
        </w:tc>
        <w:tc>
          <w:tcPr>
            <w:tcW w:w="2500" w:type="dxa"/>
          </w:tcPr>
          <w:p>
            <w:pPr/>
            <w:r>
              <w:rPr>
                <w:sz w:val="22"/>
                <w:szCs w:val="22"/>
                <w:b/>
              </w:rPr>
              <w:t xml:space="preserve">PRESENTATION:  </w:t>
            </w:r>
          </w:p>
        </w:tc>
        <w:tc>
          <w:tcPr>
            <w:tcW w:w="5000" w:type="dxa"/>
            <w:gridSpan w:val="2"/>
          </w:tcPr>
          <w:p>
            <w:pPr/>
            <w:r>
              <w:rPr/>
              <w:t xml:space="preserve">Beige coloured, caplet-shaped, biconvex faced tablets, embossed '127' on one face and 'I' on the other, packed in a white plastic multidose container carrying 30 tablets in a unit box.</w:t>
            </w:r>
          </w:p>
        </w:tc>
      </w:tr>
      <w:tr>
        <w:trPr/>
        <w:tc>
          <w:tcPr>
            <w:tcW w:w="2100" w:type="dxa"/>
            <w:shd w:val="clear" w:color="" w:fill="C0C0C0"/>
          </w:tcPr>
          <w:p>
            <w:pPr>
              <w:jc w:val="center"/>
            </w:pPr>
            <w:r>
              <w:rPr>
                <w:sz w:val="22"/>
                <w:szCs w:val="22"/>
                <w:b/>
              </w:rPr>
              <w:t xml:space="preserve">MGF. DATE:</w:t>
            </w:r>
            <w:br/>
            <w:r>
              <w:rPr/>
              <w:t xml:space="preserve">Mar. 2014</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  Feb. 2016</w:t>
            </w:r>
          </w:p>
        </w:tc>
        <w:tc>
          <w:tcPr>
            <w:tcW w:w="2500" w:type="dxa"/>
          </w:tcPr>
          <w:p>
            <w:pPr/>
            <w:r>
              <w:rPr>
                <w:sz w:val="22"/>
                <w:szCs w:val="22"/>
                <w:b/>
              </w:rPr>
              <w:t xml:space="preserve">ADDRESS:  </w:t>
            </w:r>
          </w:p>
        </w:tc>
        <w:tc>
          <w:tcPr>
            <w:tcW w:w="5000" w:type="dxa"/>
            <w:gridSpan w:val="2"/>
          </w:tcPr>
          <w:p>
            <w:pPr/>
            <w:r>
              <w:rPr/>
              <w:t xml:space="preserve">22-110,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 O. Box 19361, Nairobi, KENYA</w:t>
            </w:r>
          </w:p>
        </w:tc>
      </w:tr>
      <w:tr>
        <w:trPr/>
        <w:tc>
          <w:tcPr>
            <w:tcW w:w="2100" w:type="dxa"/>
            <w:shd w:val="clear" w:color="" w:fill="C0C0C0"/>
          </w:tcPr>
          <w:p>
            <w:pPr>
              <w:jc w:val="center"/>
            </w:pPr>
            <w:r>
              <w:rPr/>
              <w:t xml:space="preserve">TDF/3TC/EFV/01/11.3.15/00083</w:t>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component peaks in  the assay sample preparation correspond to those in the assay standard preparation</w:t>
            </w:r>
          </w:p>
        </w:tc>
        <w:tc>
          <w:tcPr>
            <w:tcW w:w="2000" w:type="dxa"/>
          </w:tcPr>
          <w:p>
            <w:pPr>
              <w:pStyle w:val="pStyle"/>
            </w:pPr>
            <w:r>
              <w:rPr/>
              <w:t xml:space="preserve">Super-imposable peaks at RT 3.5, 7.9 and  11.3 -/+ 10%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w:t>
            </w:r>
          </w:p>
        </w:tc>
        <w:tc>
          <w:tcPr>
            <w:tcW w:w="2000" w:type="dxa"/>
          </w:tcPr>
          <w:p>
            <w:pPr>
              <w:pStyle w:val="pStyle"/>
            </w:pPr>
            <w:r>
              <w:rPr/>
              <w:t xml:space="preserve">  Efavirenz 
99.7% 
(RSD=1.7%;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w:t>
            </w:r>
          </w:p>
        </w:tc>
        <w:tc>
          <w:tcPr>
            <w:tcW w:w="2000" w:type="dxa"/>
          </w:tcPr>
          <w:p>
            <w:pPr>
              <w:pStyle w:val="pStyle"/>
            </w:pPr>
            <w:r>
              <w:rPr/>
              <w:t xml:space="preserve"> Lamivudine 
104.7% 
(RSD=0.5%;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No tablet less than 80.0%
(n=6)</w:t>
            </w:r>
          </w:p>
        </w:tc>
        <w:tc>
          <w:tcPr>
            <w:tcW w:w="2000" w:type="dxa"/>
          </w:tcPr>
          <w:p>
            <w:pPr>
              <w:pStyle w:val="pStyle"/>
            </w:pPr>
            <w:r>
              <w:rPr/>
              <w:t xml:space="preserve">Tenofovir disoproxil fumarate
102.5% 
(RSD=0.4%; n=6)</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Efavirenz 99.6% (RSD=1.9%;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Lamivudine 
107.8% 
(RSD=1.9%; n=6)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Tenofovir disoproxil fumarate 
99.1%
(RSD=1.9%; n=6)
</w:t>
            </w:r>
          </w:p>
        </w:tc>
        <w:tc>
          <w:tcPr>
            <w:tcW w:w="800" w:type="dxa"/>
            <w:shd w:val="clear" w:color="" w:fill="dbdbdb"/>
          </w:tcPr>
          <w:p>
            <w:pPr>
              <w:pStyle w:val="pStyle"/>
            </w:pPr>
            <w:r>
              <w:rPr>
                <w:b/>
              </w:rPr>
              <w:t xml:space="preserve">COMPLIES:COMPLIES:COMPLIES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M. SANGALE</w:t>
            </w:r>
          </w:p>
        </w:tc>
        <w:tc>
          <w:tcPr>
            <w:tcW w:w="2500" w:type="dxa"/>
            <w:tcBorders>
              <w:bottom w:val="single" w:sz="1" w:color="000000"/>
            </w:tcBorders>
          </w:tcPr>
          <w:p/>
        </w:tc>
        <w:tc>
          <w:tcPr>
            <w:tcW w:w="2500" w:type="dxa"/>
          </w:tcPr>
          <w:p>
            <w:pPr>
              <w:pStyle w:val="UTF-8"/>
            </w:pPr>
            <w:r>
              <w:t xml:space="preserve">DATE:29-02-2016</w:t>
            </w:r>
          </w:p>
        </w:tc>
      </w:tr>
      <w:tr>
        <w:trPr>
          <w:trHeight w:val="100" w:hRule="atLeast"/>
        </w:trPr>
        <w:tc>
          <w:tcPr>
            <w:tcW w:w="1500" w:type="dxa"/>
          </w:tcPr>
          <w:p>
            <w:pPr/>
            <w:r>
              <w:rPr/>
              <w:t xml:space="preserve">ANALYST:</w:t>
            </w:r>
          </w:p>
        </w:tc>
        <w:tc>
          <w:tcPr>
            <w:tcW w:w="3000" w:type="dxa"/>
          </w:tcPr>
          <w:p>
            <w:pPr/>
            <w:r>
              <w:rPr/>
              <w:t xml:space="preserve">DR. S. MUTERU</w:t>
            </w:r>
          </w:p>
        </w:tc>
        <w:tc>
          <w:tcPr>
            <w:tcW w:w="2500" w:type="dxa"/>
            <w:tcBorders>
              <w:bottom w:val="single" w:sz="1" w:color="000000"/>
            </w:tcBorders>
          </w:tcPr>
          <w:p/>
        </w:tc>
        <w:tc>
          <w:tcPr>
            <w:tcW w:w="2500" w:type="dxa"/>
          </w:tcPr>
          <w:p>
            <w:pPr>
              <w:pStyle w:val="UTF-8"/>
            </w:pPr>
            <w:r>
              <w:t xml:space="preserve">DATE:02-03-2016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DATE:03-08-2016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2016-03-10T10:21:57+01:00</dcterms:created>
  <dcterms:modified xsi:type="dcterms:W3CDTF">2016-03-10T10:21:57+01:00</dcterms:modified>
</cp:coreProperties>
</file>

<file path=docProps/custom.xml><?xml version="1.0" encoding="utf-8"?>
<Properties xmlns="http://schemas.openxmlformats.org/officeDocument/2006/custom-properties" xmlns:vt="http://schemas.openxmlformats.org/officeDocument/2006/docPropsVTypes"/>
</file>