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ABACAVIR SULFATE / LAMIVUDINE TABLETS 60 mg /30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NDQD201508141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Abacavir Sulfate USP equivalent to Abacavir 60 mg and Lamivudine USP 30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3022056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Orange coloured, circular shaped tablets, single scored on one face and embossed 'M 26' on the opposite, unscored face. Packed in a white coloured plastic multi-dose container carrying 60 tablets.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Jan.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Dec.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 Malegaon, Sinnar,
Nashik - 422 113,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National AIDS and STI Control Programme P.O. BOX 19361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.V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7.5%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preparations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assay standard preparations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Super-imposable peaks at  RT 2.5 and 11.0 +/- 10% min. present in both 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Abacavir 105.5% (RSD=2.2%,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
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
95.9% (RSD=3.4%,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95.0% - 105.0%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Abacavir   100.0%
(RSD=1.8%,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95.0% - 105.0%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Lamivudine 102.8%, (RSD=1.0%,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DATE:01-10-2015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DATE:26-10-2015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NICHOLAS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DATE:11-04-2015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DATE:11-06-2015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2015-11-11T11:53:40+01:00</dcterms:created>
  <dcterms:modified xsi:type="dcterms:W3CDTF">2015-11-11T11:53:40+01:00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