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LAMIVUDINE/ZIDOVUDINE DISPERSIBLE TABLETS 30 mg/60 mg</w:t>
            </w:r>
          </w:p>
        </w:tc>
        <w:tc>
          <w:tcPr>
            <w:tcW w:w="3000" w:type="dxa"/>
            <w:shd w:val="clear" w:color="" w:fill="D9D9D9"/>
          </w:tcPr>
          <w:p>
            <w:pPr/>
            <w:r>
              <w:rPr/>
              <w:t xml:space="preserve">REF. NO: NDQD201508161</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dispersible tablet contains: Lamivudine USP 30 mg and Zidovudine USP 60 mg.</w:t>
            </w:r>
          </w:p>
        </w:tc>
      </w:tr>
      <w:tr>
        <w:trPr/>
        <w:tc>
          <w:tcPr>
            <w:tcW w:w="2100" w:type="dxa"/>
            <w:shd w:val="clear" w:color="" w:fill="C0C0C0"/>
          </w:tcPr>
          <w:p>
            <w:pPr>
              <w:jc w:val="center"/>
            </w:pPr>
            <w:r>
              <w:rPr>
                <w:sz w:val="22"/>
                <w:szCs w:val="22"/>
                <w:b/>
              </w:rPr>
              <w:t xml:space="preserve">BATCH NO.:</w:t>
            </w:r>
            <w:br/>
            <w:r>
              <w:rPr/>
              <w:t xml:space="preserve">3029719</w:t>
            </w:r>
          </w:p>
        </w:tc>
        <w:tc>
          <w:tcPr>
            <w:tcW w:w="2500" w:type="dxa"/>
          </w:tcPr>
          <w:p>
            <w:pPr/>
            <w:r>
              <w:rPr>
                <w:sz w:val="22"/>
                <w:szCs w:val="22"/>
                <w:b/>
              </w:rPr>
              <w:t xml:space="preserve">PRESENTATION:  </w:t>
            </w:r>
          </w:p>
        </w:tc>
        <w:tc>
          <w:tcPr>
            <w:tcW w:w="5000" w:type="dxa"/>
            <w:gridSpan w:val="2"/>
          </w:tcPr>
          <w:p>
            <w:pPr/>
            <w:r>
              <w:rPr/>
              <w:t xml:space="preserve">0ff white colored, circular shaped, biconvex faced tablet, single scored on one face and embossed "LZ" and '1' on either side of the score on one face and  "M" on the opposite unscored face packed in a white plastic multidose container carrying 60tablets in a unit box </w:t>
            </w:r>
          </w:p>
        </w:tc>
      </w:tr>
      <w:tr>
        <w:trPr/>
        <w:tc>
          <w:tcPr>
            <w:tcW w:w="2100" w:type="dxa"/>
            <w:shd w:val="clear" w:color="" w:fill="C0C0C0"/>
          </w:tcPr>
          <w:p>
            <w:pPr>
              <w:jc w:val="center"/>
            </w:pPr>
            <w:r>
              <w:rPr>
                <w:sz w:val="22"/>
                <w:szCs w:val="22"/>
                <w:b/>
              </w:rPr>
              <w:t xml:space="preserve">MGF. DATE:</w:t>
            </w:r>
            <w:br/>
            <w:r>
              <w:rPr/>
              <w:t xml:space="preserve">Aug. 2014</w:t>
            </w:r>
          </w:p>
        </w:tc>
        <w:tc>
          <w:tcPr>
            <w:tcW w:w="2500" w:type="dxa"/>
          </w:tcPr>
          <w:p>
            <w:pPr/>
            <w:r>
              <w:rPr>
                <w:sz w:val="22"/>
                <w:szCs w:val="22"/>
                <w:b/>
              </w:rPr>
              <w:t xml:space="preserve">MANUFACTURER:  </w:t>
            </w:r>
          </w:p>
        </w:tc>
        <w:tc>
          <w:tcPr>
            <w:tcW w:w="5000" w:type="dxa"/>
            <w:gridSpan w:val="2"/>
          </w:tcPr>
          <w:p>
            <w:pPr/>
            <w:r>
              <w:rPr/>
              <w:t xml:space="preserve">MYLAN Laboratories Limited.</w:t>
            </w:r>
          </w:p>
        </w:tc>
      </w:tr>
      <w:tr>
        <w:trPr/>
        <w:tc>
          <w:tcPr>
            <w:tcW w:w="2100" w:type="dxa"/>
            <w:shd w:val="clear" w:color="" w:fill="C0C0C0"/>
          </w:tcPr>
          <w:p>
            <w:pPr>
              <w:jc w:val="center"/>
            </w:pPr>
            <w:r>
              <w:rPr>
                <w:sz w:val="22"/>
                <w:szCs w:val="22"/>
                <w:b/>
              </w:rPr>
              <w:t xml:space="preserve">EXP. DATE:</w:t>
            </w:r>
            <w:br/>
            <w:r>
              <w:rPr/>
              <w:t xml:space="preserve">Jul. 2016</w:t>
            </w:r>
          </w:p>
        </w:tc>
        <w:tc>
          <w:tcPr>
            <w:tcW w:w="2500" w:type="dxa"/>
          </w:tcPr>
          <w:p>
            <w:pPr/>
            <w:r>
              <w:rPr>
                <w:sz w:val="22"/>
                <w:szCs w:val="22"/>
                <w:b/>
              </w:rPr>
              <w:t xml:space="preserve">ADDRESS:  </w:t>
            </w:r>
          </w:p>
        </w:tc>
        <w:tc>
          <w:tcPr>
            <w:tcW w:w="5000" w:type="dxa"/>
            <w:gridSpan w:val="2"/>
          </w:tcPr>
          <w:p>
            <w:pPr/>
            <w:r>
              <w:rPr/>
              <w:t xml:space="preserve">H-12 &amp; H-13, MIDC, Waluj,
Aurangabad - 431136, Maharashtra,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7.5%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RT of the component peaks in the assay sample preparation correspond to those in the assay standard preparation
</w:t>
            </w:r>
          </w:p>
        </w:tc>
        <w:tc>
          <w:tcPr>
            <w:tcW w:w="2000" w:type="dxa"/>
          </w:tcPr>
          <w:p>
            <w:pPr>
              <w:pStyle w:val="pStyle"/>
            </w:pPr>
            <w:r>
              <w:rPr/>
              <w:t xml:space="preserve">Super-imposable peaks at RT Values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RT of the component peaks in the assay sample preparation correspond to those in the assay standard preparation
</w:t>
            </w:r>
          </w:p>
        </w:tc>
        <w:tc>
          <w:tcPr>
            <w:tcW w:w="2000" w:type="dxa"/>
          </w:tcPr>
          <w:p>
            <w:pPr>
              <w:pStyle w:val="pStyle"/>
            </w:pPr>
            <w:r>
              <w:rPr/>
              <w:t xml:space="preserve"> 2.9 and 3.8 Â± 10% min. present in the  sample preparation</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Lamivudine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92.8%
(RSD = 5.6%; n = 6)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Zidovudine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No tablet less than 80.0% 
 [n=6]
</w:t>
            </w:r>
          </w:p>
        </w:tc>
        <w:tc>
          <w:tcPr>
            <w:tcW w:w="2000" w:type="dxa"/>
          </w:tcPr>
          <w:p>
            <w:pPr>
              <w:pStyle w:val="pStyle"/>
            </w:pPr>
            <w:r>
              <w:rPr/>
              <w:t xml:space="preserve"> 97.4%
(RSD = 5.9%; n = 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Lamivudine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94.9%
(RSD = 1.8%; n = 9)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Zidovudine</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94.1%
(RSD = 0.6%; n = 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0000"/>
            </w:tcBorders>
          </w:tcPr>
          <w:p/>
        </w:tc>
        <w:tc>
          <w:tcPr>
            <w:tcW w:w="2500" w:type="dxa"/>
          </w:tcPr>
          <w:p>
            <w:pPr>
              <w:pStyle w:val="UTF-8"/>
            </w:pPr>
            <w:r>
              <w:t xml:space="preserve">DATE:</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DATE:11-05-2015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2015-11-12T14:05:58+01:00</dcterms:created>
  <dcterms:modified xsi:type="dcterms:W3CDTF">2015-11-12T14:05:58+01:00</dcterms:modified>
</cp:coreProperties>
</file>

<file path=docProps/custom.xml><?xml version="1.0" encoding="utf-8"?>
<Properties xmlns="http://schemas.openxmlformats.org/officeDocument/2006/custom-properties" xmlns:vt="http://schemas.openxmlformats.org/officeDocument/2006/docPropsVTypes"/>
</file>