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 CAN/2016-17/XYZ</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LONART-DS TABLETS</w:t>
            </w:r>
          </w:p>
        </w:tc>
        <w:tc>
          <w:tcPr>
            <w:tcW w:w="3000" w:type="dxa"/>
            <w:shd w:val="clear" w:color="" w:fill="D9D9D9"/>
          </w:tcPr>
          <w:p>
            <w:pPr/>
            <w:r>
              <w:rPr/>
              <w:t xml:space="preserve">REF. NO: NDQD201508182</w:t>
            </w:r>
          </w:p>
        </w:tc>
      </w:tr>
      <w:tr>
        <w:trPr/>
        <w:tc>
          <w:tcPr>
            <w:tcW w:w="2100" w:type="dxa"/>
            <w:shd w:val="clear" w:color="" w:fill="C0C0C0"/>
          </w:tcPr>
          <w:p>
            <w:pPr>
              <w:jc w:val="center"/>
            </w:pPr>
            <w:r>
              <w:rPr>
                <w:sz w:val="22"/>
                <w:szCs w:val="22"/>
                <w:b/>
              </w:rPr>
              <w:t xml:space="preserve">DATE RECEIVED:</w:t>
            </w:r>
            <w:br/>
            <w:r>
              <w:rPr/>
              <w:t xml:space="preserve">24.08.2015</w:t>
            </w:r>
          </w:p>
        </w:tc>
        <w:tc>
          <w:tcPr>
            <w:tcW w:w="2500" w:type="dxa"/>
          </w:tcPr>
          <w:p>
            <w:pPr/>
            <w:r>
              <w:rPr>
                <w:sz w:val="22"/>
                <w:szCs w:val="22"/>
                <w:b/>
              </w:rPr>
              <w:t xml:space="preserve">LABEL CLAIM:  </w:t>
            </w:r>
          </w:p>
        </w:tc>
        <w:tc>
          <w:tcPr>
            <w:tcW w:w="5000" w:type="dxa"/>
            <w:gridSpan w:val="2"/>
          </w:tcPr>
          <w:p>
            <w:pPr/>
            <w:r>
              <w:rPr/>
              <w:t xml:space="preserve">Each film coated tablet contains; Artemether 80 mg, Lumefantrine 480 mg,Excipients q.s.</w:t>
            </w:r>
          </w:p>
        </w:tc>
      </w:tr>
      <w:tr>
        <w:trPr/>
        <w:tc>
          <w:tcPr>
            <w:tcW w:w="2100" w:type="dxa"/>
            <w:shd w:val="clear" w:color="" w:fill="C0C0C0"/>
          </w:tcPr>
          <w:p>
            <w:pPr>
              <w:jc w:val="center"/>
            </w:pPr>
            <w:r>
              <w:rPr>
                <w:sz w:val="22"/>
                <w:szCs w:val="22"/>
                <w:b/>
              </w:rPr>
              <w:t xml:space="preserve">BATCH NO.:</w:t>
            </w:r>
            <w:br/>
            <w:r>
              <w:rPr/>
              <w:t xml:space="preserve">LD-594</w:t>
            </w:r>
          </w:p>
        </w:tc>
        <w:tc>
          <w:tcPr>
            <w:tcW w:w="2500" w:type="dxa"/>
          </w:tcPr>
          <w:p>
            <w:pPr/>
            <w:r>
              <w:rPr>
                <w:sz w:val="22"/>
                <w:szCs w:val="22"/>
                <w:b/>
              </w:rPr>
              <w:t xml:space="preserve">PRESENTATION:  </w:t>
            </w:r>
          </w:p>
        </w:tc>
        <w:tc>
          <w:tcPr>
            <w:tcW w:w="5000" w:type="dxa"/>
            <w:gridSpan w:val="2"/>
          </w:tcPr>
          <w:p>
            <w:pPr/>
            <w:r>
              <w:rPr/>
              <w:t xml:space="preserve">Yellow coloured, circular shaped, flat faced, bevel edged tablets,single scored on one face and embossed 'BG' on the other, packed in blister strip of 12 tablets and 30 such strips packed in a box.</w:t>
            </w:r>
          </w:p>
        </w:tc>
      </w:tr>
      <w:tr>
        <w:trPr/>
        <w:tc>
          <w:tcPr>
            <w:tcW w:w="2100" w:type="dxa"/>
            <w:shd w:val="clear" w:color="" w:fill="C0C0C0"/>
          </w:tcPr>
          <w:p>
            <w:pPr>
              <w:jc w:val="center"/>
            </w:pPr>
            <w:r>
              <w:rPr>
                <w:sz w:val="22"/>
                <w:szCs w:val="22"/>
                <w:b/>
              </w:rPr>
              <w:t xml:space="preserve">MGF. DATE:</w:t>
            </w:r>
            <w:br/>
            <w:r>
              <w:rPr/>
              <w:t xml:space="preserve">Jun. 2014</w:t>
            </w:r>
          </w:p>
        </w:tc>
        <w:tc>
          <w:tcPr>
            <w:tcW w:w="2500" w:type="dxa"/>
          </w:tcPr>
          <w:p>
            <w:pPr/>
            <w:r>
              <w:rPr>
                <w:sz w:val="22"/>
                <w:szCs w:val="22"/>
                <w:b/>
              </w:rPr>
              <w:t xml:space="preserve">MANUFACTURER:  </w:t>
            </w:r>
          </w:p>
        </w:tc>
        <w:tc>
          <w:tcPr>
            <w:tcW w:w="5000" w:type="dxa"/>
            <w:gridSpan w:val="2"/>
          </w:tcPr>
          <w:p>
            <w:pPr/>
            <w:r>
              <w:rPr/>
              <w:t xml:space="preserve">BLISS GVS Pharma Ltd.</w:t>
            </w:r>
          </w:p>
        </w:tc>
      </w:tr>
      <w:tr>
        <w:trPr/>
        <w:tc>
          <w:tcPr>
            <w:tcW w:w="2100" w:type="dxa"/>
            <w:shd w:val="clear" w:color="" w:fill="C0C0C0"/>
          </w:tcPr>
          <w:p>
            <w:pPr>
              <w:jc w:val="center"/>
            </w:pPr>
            <w:r>
              <w:rPr>
                <w:sz w:val="22"/>
                <w:szCs w:val="22"/>
                <w:b/>
              </w:rPr>
              <w:t xml:space="preserve">EXP. DATE:</w:t>
            </w:r>
            <w:br/>
            <w:r>
              <w:rPr/>
              <w:t xml:space="preserve">May 2016</w:t>
            </w:r>
          </w:p>
        </w:tc>
        <w:tc>
          <w:tcPr>
            <w:tcW w:w="2500" w:type="dxa"/>
          </w:tcPr>
          <w:p>
            <w:pPr/>
            <w:r>
              <w:rPr>
                <w:sz w:val="22"/>
                <w:szCs w:val="22"/>
                <w:b/>
              </w:rPr>
              <w:t xml:space="preserve">ADDRESS:  </w:t>
            </w:r>
          </w:p>
        </w:tc>
        <w:tc>
          <w:tcPr>
            <w:tcW w:w="5000" w:type="dxa"/>
            <w:gridSpan w:val="2"/>
          </w:tcPr>
          <w:p>
            <w:pPr/>
            <w:r>
              <w:rPr/>
              <w:t xml:space="preserve">Factory: 10, Dewan Udyog Nagar , Aliyali, Palghar, 
Maharashtra-401404, Regd. Off.: 102, HYDE Park, 
Saki Vihar Road, Andheri (E), Mumbai-400 072,
INDIA.
</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Pharmacy Board Of Sierra Leone, Central Medical Stores, Free Town, SIERRA LEONE</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Uniformity of Content,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2012 Vol .V App XII C</w:t>
            </w:r>
          </w:p>
        </w:tc>
        <w:tc>
          <w:tcPr>
            <w:tcW w:w="2600" w:type="dxa"/>
          </w:tcPr>
          <w:p>
            <w:pPr>
              <w:pStyle w:val="pStyle"/>
            </w:pPr>
            <w:r>
              <w:rPr/>
              <w:t xml:space="preserve">NMT 2 tablets deviate by more than 5% from mean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Adopted
In-house Method</w:t>
            </w:r>
          </w:p>
        </w:tc>
        <w:tc>
          <w:tcPr>
            <w:tcW w:w="2600" w:type="dxa"/>
          </w:tcPr>
          <w:p>
            <w:pPr>
              <w:pStyle w:val="pStyle"/>
            </w:pPr>
            <w:r>
              <w:rPr/>
              <w:t xml:space="preserve">RT of the major Peak in  the assay sample preparation correspond to those in the assay standard preparation</w:t>
            </w:r>
          </w:p>
        </w:tc>
        <w:tc>
          <w:tcPr>
            <w:tcW w:w="2000" w:type="dxa"/>
          </w:tcPr>
          <w:p>
            <w:pPr>
              <w:pStyle w:val="pStyle"/>
            </w:pPr>
            <w:r>
              <w:rPr/>
              <w:t xml:space="preserve">Super-imposable peak at RT 3.8, 5.6 -/+ 10%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HPLC:UV</w:t>
            </w:r>
          </w:p>
        </w:tc>
        <w:tc>
          <w:tcPr>
            <w:tcW w:w="1400" w:type="dxa"/>
          </w:tcPr>
          <w:p>
            <w:pPr>
              <w:pStyle w:val="pStyle"/>
            </w:pPr>
            <w:r>
              <w:rPr/>
              <w:t xml:space="preserve">Adopted
In-house Method:Adopted
In-house Method</w:t>
            </w:r>
          </w:p>
        </w:tc>
        <w:tc>
          <w:tcPr>
            <w:tcW w:w="2600" w:type="dxa"/>
          </w:tcPr>
          <w:p>
            <w:pPr>
              <w:pStyle w:val="pStyle"/>
            </w:pPr>
            <w:r>
              <w:rPr/>
              <w:t xml:space="preserve">After 1 hour run
No tablet less than 50.0% [n=6]
After 3 hours run
No tablet less than 70.0% [n=6]
After 45 min run
No tablet less than 65.0% [n=6]
</w:t>
            </w:r>
          </w:p>
        </w:tc>
        <w:tc>
          <w:tcPr>
            <w:tcW w:w="2000" w:type="dxa"/>
          </w:tcPr>
          <w:p>
            <w:pPr>
              <w:pStyle w:val="pStyle"/>
            </w:pPr>
            <w:r>
              <w:rPr/>
              <w:t xml:space="preserve">Artemether
67.6%
(RSD = 5.4%; n = 6) </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HPLC:UV</w:t>
            </w:r>
          </w:p>
        </w:tc>
        <w:tc>
          <w:tcPr>
            <w:tcW w:w="1400" w:type="dxa"/>
          </w:tcPr>
          <w:p>
            <w:pPr>
              <w:pStyle w:val="pStyle"/>
            </w:pPr>
            <w:r>
              <w:rPr/>
              <w:t xml:space="preserve">Adopted
In-house Method:Adopted
In-house Method</w:t>
            </w:r>
          </w:p>
        </w:tc>
        <w:tc>
          <w:tcPr>
            <w:tcW w:w="2600" w:type="dxa"/>
          </w:tcPr>
          <w:p>
            <w:pPr>
              <w:pStyle w:val="pStyle"/>
            </w:pPr>
            <w:r>
              <w:rPr/>
              <w:t xml:space="preserve">After 1 hour run
No tablet less than 50.0% [n=6]
After 3 hours run
No tablet less than 70.0% [n=6]
After 45 min run
No tablet less than 65.0% [n=6]
</w:t>
            </w:r>
          </w:p>
        </w:tc>
        <w:tc>
          <w:tcPr>
            <w:tcW w:w="2000" w:type="dxa"/>
          </w:tcPr>
          <w:p>
            <w:pPr>
              <w:pStyle w:val="pStyle"/>
            </w:pPr>
            <w:r>
              <w:rPr/>
              <w:t xml:space="preserve"> Artemether
90.6%
(RSD = 1.6%; n = 6) </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HPLC:UV</w:t>
            </w:r>
          </w:p>
        </w:tc>
        <w:tc>
          <w:tcPr>
            <w:tcW w:w="1400" w:type="dxa"/>
          </w:tcPr>
          <w:p>
            <w:pPr>
              <w:pStyle w:val="pStyle"/>
            </w:pPr>
            <w:r>
              <w:rPr/>
              <w:t xml:space="preserve">Adopted
In-house Method:Adopted
In-house Method</w:t>
            </w:r>
          </w:p>
        </w:tc>
        <w:tc>
          <w:tcPr>
            <w:tcW w:w="2600" w:type="dxa"/>
          </w:tcPr>
          <w:p>
            <w:pPr>
              <w:pStyle w:val="pStyle"/>
            </w:pPr>
            <w:r>
              <w:rPr/>
              <w:t xml:space="preserve">After 1 hour run
No tablet less than 50.0% [n=6]
After 3 hours run
No tablet less than 70.0% [n=6]
After 45 min run
No tablet less than 65.0% [n=6]
</w:t>
            </w:r>
          </w:p>
        </w:tc>
        <w:tc>
          <w:tcPr>
            <w:tcW w:w="2000" w:type="dxa"/>
          </w:tcPr>
          <w:p>
            <w:pPr>
              <w:pStyle w:val="pStyle"/>
            </w:pPr>
            <w:r>
              <w:rPr/>
              <w:t xml:space="preserve">  Lumefantrine
91.6%
(RSD = 7.5%; n = 6)</w:t>
            </w:r>
          </w:p>
        </w:tc>
        <w:tc>
          <w:tcPr>
            <w:tcW w:w="800" w:type="dxa"/>
            <w:shd w:val="clear" w:color="" w:fill="dbdbdb"/>
          </w:tcPr>
          <w:p>
            <w:pPr>
              <w:pStyle w:val="pStyle"/>
            </w:pPr>
            <w:r>
              <w:rPr>
                <w:b/>
              </w:rPr>
              <w:t xml:space="preserve">COMPLIES:COMPLIES:COMPLIES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Adopted
InÃ¢â‚¬â€œhouse Method</w:t>
            </w:r>
          </w:p>
        </w:tc>
        <w:tc>
          <w:tcPr>
            <w:tcW w:w="2600" w:type="dxa"/>
          </w:tcPr>
          <w:p>
            <w:pPr>
              <w:pStyle w:val="pStyle"/>
            </w:pPr>
            <w:r>
              <w:rPr/>
              <w:t xml:space="preserve">95.0 - 105.0%</w:t>
            </w:r>
          </w:p>
        </w:tc>
        <w:tc>
          <w:tcPr>
            <w:tcW w:w="2000" w:type="dxa"/>
          </w:tcPr>
          <w:p>
            <w:pPr>
              <w:pStyle w:val="pStyle"/>
            </w:pPr>
            <w:r>
              <w:rPr/>
              <w:t xml:space="preserve">Artemether
101.1%
(RSD = 1.5%; n = 9) </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Adopted
InÃ¢â‚¬â€œhouse Method</w:t>
            </w:r>
          </w:p>
        </w:tc>
        <w:tc>
          <w:tcPr>
            <w:tcW w:w="2600" w:type="dxa"/>
          </w:tcPr>
          <w:p>
            <w:pPr>
              <w:pStyle w:val="pStyle"/>
            </w:pPr>
            <w:r>
              <w:rPr/>
              <w:t xml:space="preserve">95.0 - 105.0%</w:t>
            </w:r>
          </w:p>
        </w:tc>
        <w:tc>
          <w:tcPr>
            <w:tcW w:w="2000" w:type="dxa"/>
          </w:tcPr>
          <w:p>
            <w:pPr>
              <w:pStyle w:val="pStyle"/>
            </w:pPr>
            <w:r>
              <w:rPr/>
              <w:t xml:space="preserve">  Lumefantrine
99.4%
(RSD = 0.9%; n = 9)</w:t>
            </w:r>
          </w:p>
        </w:tc>
        <w:tc>
          <w:tcPr>
            <w:tcW w:w="800" w:type="dxa"/>
            <w:shd w:val="clear" w:color="" w:fill="dbdbdb"/>
          </w:tcPr>
          <w:p>
            <w:pPr>
              <w:pStyle w:val="pStyle"/>
            </w:pPr>
            <w:r>
              <w:rPr>
                <w:b/>
              </w:rPr>
              <w:t xml:space="preserve">COMPLIES:COMPLIES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DR. J. CHEPCHUMBA</w:t>
            </w:r>
          </w:p>
        </w:tc>
        <w:tc>
          <w:tcPr>
            <w:tcW w:w="2500" w:type="dxa"/>
            <w:tcBorders>
              <w:bottom w:val="single" w:sz="1" w:color="000000"/>
            </w:tcBorders>
          </w:tcPr>
          <w:p/>
        </w:tc>
        <w:tc>
          <w:tcPr>
            <w:tcW w:w="2500" w:type="dxa"/>
          </w:tcPr>
          <w:p>
            <w:pPr>
              <w:pStyle w:val="UTF-8"/>
            </w:pPr>
            <w:r>
              <w:t xml:space="preserve">DATE:29-12-2015</w:t>
            </w:r>
          </w:p>
        </w:tc>
      </w:tr>
      <w:tr>
        <w:trPr>
          <w:trHeight w:val="100" w:hRule="atLeast"/>
        </w:trPr>
        <w:tc>
          <w:tcPr>
            <w:tcW w:w="1500" w:type="dxa"/>
          </w:tcPr>
          <w:p>
            <w:pPr/>
            <w:r>
              <w:rPr/>
              <w:t xml:space="preserve">ANALYST:</w:t>
            </w:r>
          </w:p>
        </w:tc>
        <w:tc>
          <w:tcPr>
            <w:tcW w:w="3000" w:type="dxa"/>
          </w:tcPr>
          <w:p>
            <w:pPr/>
            <w:r>
              <w:rPr/>
              <w:t xml:space="preserve">DR. G. WANG'ANG'A</w:t>
            </w:r>
          </w:p>
        </w:tc>
        <w:tc>
          <w:tcPr>
            <w:tcW w:w="2500" w:type="dxa"/>
            <w:tcBorders>
              <w:bottom w:val="single" w:sz="1" w:color="000000"/>
            </w:tcBorders>
          </w:tcPr>
          <w:p/>
        </w:tc>
        <w:tc>
          <w:tcPr>
            <w:tcW w:w="2500" w:type="dxa"/>
          </w:tcPr>
          <w:p>
            <w:pPr>
              <w:pStyle w:val="UTF-8"/>
            </w:pPr>
            <w:r>
              <w:t xml:space="preserve">DATE:29-12-2015</w:t>
            </w:r>
          </w:p>
        </w:tc>
      </w:tr>
      <w:tr>
        <w:trPr>
          <w:trHeight w:val="100" w:hRule="atLeast"/>
        </w:trPr>
        <w:tc>
          <w:tcPr>
            <w:tcW w:w="1500" w:type="dxa"/>
          </w:tcPr>
          <w:p>
            <w:pPr/>
            <w:r>
              <w:rPr/>
              <w:t xml:space="preserve">ANALYST: </w:t>
            </w:r>
          </w:p>
        </w:tc>
        <w:tc>
          <w:tcPr>
            <w:tcW w:w="3000" w:type="dxa"/>
          </w:tcPr>
          <w:p>
            <w:pPr/>
            <w:r>
              <w:rPr/>
              <w:t xml:space="preserve">ERNEST MBAE</w:t>
            </w:r>
          </w:p>
        </w:tc>
        <w:tc>
          <w:tcPr>
            <w:tcW w:w="2500" w:type="dxa"/>
            <w:tcBorders>
              <w:bottom w:val="single" w:sz="1" w:color="000000"/>
            </w:tcBorders>
          </w:tcPr>
          <w:p/>
        </w:tc>
        <w:tc>
          <w:tcPr>
            <w:tcW w:w="2500" w:type="dxa"/>
          </w:tcPr>
          <w:p>
            <w:pPr>
              <w:pStyle w:val="UTF-8"/>
            </w:pPr>
            <w:r>
              <w:t xml:space="preserve">DATE:01-06-2016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DATE:01-19-2016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2016-01-21T10:21:12+01:00</dcterms:created>
  <dcterms:modified xsi:type="dcterms:W3CDTF">2016-01-21T10:21:12+01:00</dcterms:modified>
</cp:coreProperties>
</file>

<file path=docProps/custom.xml><?xml version="1.0" encoding="utf-8"?>
<Properties xmlns="http://schemas.openxmlformats.org/officeDocument/2006/custom-properties" xmlns:vt="http://schemas.openxmlformats.org/officeDocument/2006/docPropsVTypes"/>
</file>