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ASAQ WINTHROPÃ‚Â® 25 mg/67.5 mg TABLETS</w:t>
            </w:r>
          </w:p>
        </w:tc>
        <w:tc>
          <w:tcPr>
            <w:tcW w:w="3000" w:type="dxa"/>
            <w:shd w:val="clear" w:color="" w:fill="D9D9D9"/>
          </w:tcPr>
          <w:p>
            <w:pPr/>
            <w:r>
              <w:rPr/>
              <w:t xml:space="preserve">REF. NO: NDQD201508231</w:t>
            </w:r>
          </w:p>
        </w:tc>
      </w:tr>
      <w:tr>
        <w:trPr/>
        <w:tc>
          <w:tcPr>
            <w:tcW w:w="2100" w:type="dxa"/>
            <w:shd w:val="clear" w:color="" w:fill="C0C0C0"/>
          </w:tcPr>
          <w:p>
            <w:pPr>
              <w:jc w:val="center"/>
            </w:pPr>
            <w:r>
              <w:rPr>
                <w:sz w:val="22"/>
                <w:szCs w:val="22"/>
                <w:b/>
              </w:rPr>
              <w:t xml:space="preserve">DATE RECEIVED:</w:t>
            </w:r>
            <w:br/>
            <w:r>
              <w:rPr/>
              <w:t xml:space="preserve">24.08.2015</w:t>
            </w:r>
          </w:p>
        </w:tc>
        <w:tc>
          <w:tcPr>
            <w:tcW w:w="2500" w:type="dxa"/>
          </w:tcPr>
          <w:p>
            <w:pPr/>
            <w:r>
              <w:rPr>
                <w:sz w:val="22"/>
                <w:szCs w:val="22"/>
                <w:b/>
              </w:rPr>
              <w:t xml:space="preserve">LABEL CLAIM:  </w:t>
            </w:r>
          </w:p>
        </w:tc>
        <w:tc>
          <w:tcPr>
            <w:tcW w:w="5000" w:type="dxa"/>
            <w:gridSpan w:val="2"/>
          </w:tcPr>
          <w:p>
            <w:pPr/>
            <w:r>
              <w:rPr/>
              <w:t xml:space="preserve">Fixed dose combination: Artesunate 25.00 mg, Amodiaquine  base 67.50 mg ( as hydrochloride 88.16 mg) and Excipients q.s.p.</w:t>
            </w:r>
          </w:p>
        </w:tc>
      </w:tr>
      <w:tr>
        <w:trPr/>
        <w:tc>
          <w:tcPr>
            <w:tcW w:w="2100" w:type="dxa"/>
            <w:shd w:val="clear" w:color="" w:fill="C0C0C0"/>
          </w:tcPr>
          <w:p>
            <w:pPr>
              <w:jc w:val="center"/>
            </w:pPr>
            <w:r>
              <w:rPr>
                <w:sz w:val="22"/>
                <w:szCs w:val="22"/>
                <w:b/>
              </w:rPr>
              <w:t xml:space="preserve">BATCH NO.:</w:t>
            </w:r>
            <w:br/>
            <w:r>
              <w:rPr/>
              <w:t xml:space="preserve">3MA025</w:t>
            </w:r>
          </w:p>
        </w:tc>
        <w:tc>
          <w:tcPr>
            <w:tcW w:w="2500" w:type="dxa"/>
          </w:tcPr>
          <w:p>
            <w:pPr/>
            <w:r>
              <w:rPr>
                <w:sz w:val="22"/>
                <w:szCs w:val="22"/>
                <w:b/>
              </w:rPr>
              <w:t xml:space="preserve">PRESENTATION:  </w:t>
            </w:r>
          </w:p>
        </w:tc>
        <w:tc>
          <w:tcPr>
            <w:tcW w:w="5000" w:type="dxa"/>
            <w:gridSpan w:val="2"/>
          </w:tcPr>
          <w:p>
            <w:pPr/>
            <w:r>
              <w:rPr/>
              <w:t xml:space="preserve">Off white and yellow coloured bi-layered, circular shaped tablets, single scored and embossed 'A' and 'S' on  either side of the score on the off white face and embossed '25' on the other face, packed in an aluminium blister strip of 3 tablets  and 25 such strips in a unit box.</w:t>
            </w:r>
          </w:p>
        </w:tc>
      </w:tr>
      <w:tr>
        <w:trPr/>
        <w:tc>
          <w:tcPr>
            <w:tcW w:w="2100" w:type="dxa"/>
            <w:shd w:val="clear" w:color="" w:fill="C0C0C0"/>
          </w:tcPr>
          <w:p>
            <w:pPr>
              <w:jc w:val="center"/>
            </w:pPr>
            <w:r>
              <w:rPr>
                <w:sz w:val="22"/>
                <w:szCs w:val="22"/>
                <w:b/>
              </w:rPr>
              <w:t xml:space="preserve">MGF. DATE:</w:t>
            </w:r>
            <w:br/>
            <w:r>
              <w:rPr/>
              <w:t xml:space="preserve">Aug. 2013</w:t>
            </w:r>
          </w:p>
        </w:tc>
        <w:tc>
          <w:tcPr>
            <w:tcW w:w="2500" w:type="dxa"/>
          </w:tcPr>
          <w:p>
            <w:pPr/>
            <w:r>
              <w:rPr>
                <w:sz w:val="22"/>
                <w:szCs w:val="22"/>
                <w:b/>
              </w:rPr>
              <w:t xml:space="preserve">MANUFACTURER:  </w:t>
            </w:r>
          </w:p>
        </w:tc>
        <w:tc>
          <w:tcPr>
            <w:tcW w:w="5000" w:type="dxa"/>
            <w:gridSpan w:val="2"/>
          </w:tcPr>
          <w:p>
            <w:pPr/>
            <w:r>
              <w:rPr/>
              <w:t xml:space="preserve">MAPHAR.</w:t>
            </w:r>
          </w:p>
        </w:tc>
      </w:tr>
      <w:tr>
        <w:trPr/>
        <w:tc>
          <w:tcPr>
            <w:tcW w:w="2100" w:type="dxa"/>
            <w:shd w:val="clear" w:color="" w:fill="C0C0C0"/>
          </w:tcPr>
          <w:p>
            <w:pPr>
              <w:jc w:val="center"/>
            </w:pPr>
            <w:r>
              <w:rPr>
                <w:sz w:val="22"/>
                <w:szCs w:val="22"/>
                <w:b/>
              </w:rPr>
              <w:t xml:space="preserve">EXP. DATE:</w:t>
            </w:r>
            <w:br/>
            <w:r>
              <w:rPr/>
              <w:t xml:space="preserve">  Jul. 2016</w:t>
            </w:r>
          </w:p>
        </w:tc>
        <w:tc>
          <w:tcPr>
            <w:tcW w:w="2500" w:type="dxa"/>
          </w:tcPr>
          <w:p>
            <w:pPr/>
            <w:r>
              <w:rPr>
                <w:sz w:val="22"/>
                <w:szCs w:val="22"/>
                <w:b/>
              </w:rPr>
              <w:t xml:space="preserve">ADDRESS:  </w:t>
            </w:r>
          </w:p>
        </w:tc>
        <w:tc>
          <w:tcPr>
            <w:tcW w:w="5000" w:type="dxa"/>
            <w:gridSpan w:val="2"/>
          </w:tcPr>
          <w:p>
            <w:pPr/>
            <w:r>
              <w:rPr/>
              <w:t xml:space="preserve">Km 10, route cotiere 111,
Zenata Ain Sebaa - Casablanca,
MOROCCO.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Pharmacy Board Of Sierra Leone, Central Medical Stores, Free Town, SIERRA LEONE</w:t>
            </w:r>
          </w:p>
        </w:tc>
      </w:tr>
      <w:tr>
        <w:trPr/>
        <w:tc>
          <w:tcPr>
            <w:tcW w:w="2100" w:type="dxa"/>
            <w:shd w:val="clear" w:color="" w:fill="C0C0C0"/>
          </w:tcPr>
          <w:p>
            <w:pPr>
              <w:jc w:val="center"/>
            </w:pPr>
            <w:r>
              <w:rPr/>
              <w:t xml:space="preserve">PVG/GFM/Ken-pub/20/3/15</w:t>
            </w:r>
          </w:p>
        </w:tc>
        <w:tc>
          <w:tcPr>
            <w:tcW w:w="2100" w:type="dxa"/>
          </w:tcPr>
          <w:p>
            <w:pPr/>
            <w:r>
              <w:rPr>
                <w:sz w:val="22"/>
                <w:szCs w:val="22"/>
                <w:b/>
              </w:rPr>
              <w:t xml:space="preserve">TEST(S) REQUESTED:  </w:t>
            </w:r>
          </w:p>
        </w:tc>
        <w:tc>
          <w:tcPr>
            <w:tcW w:w="5000" w:type="dxa"/>
            <w:gridSpan w:val="2"/>
          </w:tcPr>
          <w:p>
            <w:pPr/>
            <w:r>
              <w:rPr/>
              <w:t xml:space="preserve">Uniformity of Weight, Uniformity of Content,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IV
App XII C</w:t>
            </w:r>
          </w:p>
        </w:tc>
        <w:tc>
          <w:tcPr>
            <w:tcW w:w="2600" w:type="dxa"/>
          </w:tcPr>
          <w:p>
            <w:pPr>
              <w:pStyle w:val="pStyle"/>
            </w:pPr>
            <w:r>
              <w:rPr/>
              <w:t xml:space="preserve">&lt; 2 tablets deviate by more than 7.5%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RT of the component Peaks in the assay sample preparation corresponds to those in the standard preparation</w:t>
            </w:r>
          </w:p>
        </w:tc>
        <w:tc>
          <w:tcPr>
            <w:tcW w:w="2000" w:type="dxa"/>
          </w:tcPr>
          <w:p>
            <w:pPr>
              <w:pStyle w:val="pStyle"/>
            </w:pPr>
            <w:r>
              <w:rPr/>
              <w:t xml:space="preserve">Super-imposable peak at RT 2.0 &amp; 8.2 -/+ 10%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No Tablet Less than 80%
[n=6]
</w:t>
            </w:r>
          </w:p>
        </w:tc>
        <w:tc>
          <w:tcPr>
            <w:tcW w:w="2000" w:type="dxa"/>
          </w:tcPr>
          <w:p>
            <w:pPr>
              <w:pStyle w:val="pStyle"/>
            </w:pPr>
            <w:r>
              <w:rPr/>
              <w:t xml:space="preserve"> Amodiaquine HCl 
99.3%
(RSD=0.6%,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No Tablet Less than 80%
[n=6]
</w:t>
            </w:r>
          </w:p>
        </w:tc>
        <w:tc>
          <w:tcPr>
            <w:tcW w:w="2000" w:type="dxa"/>
          </w:tcPr>
          <w:p>
            <w:pPr>
              <w:pStyle w:val="pStyle"/>
            </w:pPr>
            <w:r>
              <w:rPr/>
              <w:t xml:space="preserve">  Artesunate
102.4%,
(RSD=0.3%, n=6)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90.0 - 110.0%</w:t>
            </w:r>
          </w:p>
        </w:tc>
        <w:tc>
          <w:tcPr>
            <w:tcW w:w="2000" w:type="dxa"/>
          </w:tcPr>
          <w:p>
            <w:pPr>
              <w:pStyle w:val="pStyle"/>
            </w:pPr>
            <w:r>
              <w:rPr/>
              <w:t xml:space="preserve"> Amodiaquine HCl
 100.3%
(RSD=1.8%,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90.0 - 110.0%</w:t>
            </w:r>
          </w:p>
        </w:tc>
        <w:tc>
          <w:tcPr>
            <w:tcW w:w="2000" w:type="dxa"/>
          </w:tcPr>
          <w:p>
            <w:pPr>
              <w:pStyle w:val="pStyle"/>
            </w:pPr>
            <w:r>
              <w:rPr/>
              <w:t xml:space="preserve">  Artesunate
100.1%
(RSD=1.1%, n=9)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M. SANGALE</w:t>
            </w:r>
          </w:p>
        </w:tc>
        <w:tc>
          <w:tcPr>
            <w:tcW w:w="2500" w:type="dxa"/>
            <w:tcBorders>
              <w:bottom w:val="single" w:sz="1" w:color="000000"/>
            </w:tcBorders>
          </w:tcPr>
          <w:p/>
        </w:tc>
        <w:tc>
          <w:tcPr>
            <w:tcW w:w="2500" w:type="dxa"/>
          </w:tcPr>
          <w:p>
            <w:pPr>
              <w:pStyle w:val="UTF-8"/>
            </w:pPr>
            <w:r>
              <w:t xml:space="preserve">DATE:06-01-2016</w:t>
            </w:r>
          </w:p>
        </w:tc>
      </w:tr>
      <w:tr>
        <w:trPr>
          <w:trHeight w:val="100" w:hRule="atLeast"/>
        </w:trPr>
        <w:tc>
          <w:tcPr>
            <w:tcW w:w="1500" w:type="dxa"/>
          </w:tcPr>
          <w:p>
            <w:pPr/>
            <w:r>
              <w:rPr/>
              <w:t xml:space="preserve">ANALYST:</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DATE:06-01-2016</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DATE:01-11-2016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DATE:02-25-2016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2016-02-29T09:45:23+01:00</dcterms:created>
  <dcterms:modified xsi:type="dcterms:W3CDTF">2016-02-29T09:45:23+01:00</dcterms:modified>
</cp:coreProperties>
</file>

<file path=docProps/custom.xml><?xml version="1.0" encoding="utf-8"?>
<Properties xmlns="http://schemas.openxmlformats.org/officeDocument/2006/custom-properties" xmlns:vt="http://schemas.openxmlformats.org/officeDocument/2006/docPropsVTypes"/>
</file>