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CAN/2015-16/427</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PRAZIQUANTEL - 600 TABLETS USP</w:t>
            </w:r>
          </w:p>
        </w:tc>
        <w:tc>
          <w:tcPr>
            <w:tcW w:w="3000" w:type="dxa"/>
            <w:shd w:val="clear" w:color="" w:fill="D9D9D9"/>
          </w:tcPr>
          <w:p>
            <w:pPr/>
            <w:r>
              <w:rPr/>
              <w:t xml:space="preserve">REF. NO: NDQD201509259</w:t>
            </w:r>
          </w:p>
        </w:tc>
      </w:tr>
      <w:tr>
        <w:trPr/>
        <w:tc>
          <w:tcPr>
            <w:tcW w:w="2100" w:type="dxa"/>
            <w:shd w:val="clear" w:color="" w:fill="C0C0C0"/>
          </w:tcPr>
          <w:p>
            <w:pPr>
              <w:jc w:val="center"/>
            </w:pPr>
            <w:r>
              <w:rPr>
                <w:sz w:val="22"/>
                <w:szCs w:val="22"/>
                <w:b/>
              </w:rPr>
              <w:t xml:space="preserve">DATE RECEIVED:</w:t>
            </w:r>
            <w:br/>
            <w:r>
              <w:rPr/>
              <w:t xml:space="preserve">08.09.2015</w:t>
            </w:r>
          </w:p>
        </w:tc>
        <w:tc>
          <w:tcPr>
            <w:tcW w:w="2500" w:type="dxa"/>
          </w:tcPr>
          <w:p>
            <w:pPr/>
            <w:r>
              <w:rPr>
                <w:sz w:val="22"/>
                <w:szCs w:val="22"/>
                <w:b/>
              </w:rPr>
              <w:t xml:space="preserve">LABEL CLAIM:  </w:t>
            </w:r>
          </w:p>
        </w:tc>
        <w:tc>
          <w:tcPr>
            <w:tcW w:w="5000" w:type="dxa"/>
            <w:gridSpan w:val="2"/>
          </w:tcPr>
          <w:p>
            <w:pPr/>
            <w:r>
              <w:rPr/>
              <w:t xml:space="preserve">Each film coated tablet contains: Praziquantel USP 600 mg.</w:t>
            </w:r>
          </w:p>
        </w:tc>
      </w:tr>
      <w:tr>
        <w:trPr/>
        <w:tc>
          <w:tcPr>
            <w:tcW w:w="2100" w:type="dxa"/>
            <w:shd w:val="clear" w:color="" w:fill="C0C0C0"/>
          </w:tcPr>
          <w:p>
            <w:pPr>
              <w:jc w:val="center"/>
            </w:pPr>
            <w:r>
              <w:rPr>
                <w:sz w:val="22"/>
                <w:szCs w:val="22"/>
                <w:b/>
              </w:rPr>
              <w:t xml:space="preserve">BATCH NO.:</w:t>
            </w:r>
            <w:br/>
            <w:r>
              <w:rPr/>
              <w:t xml:space="preserve">140005</w:t>
            </w:r>
          </w:p>
        </w:tc>
        <w:tc>
          <w:tcPr>
            <w:tcW w:w="2500" w:type="dxa"/>
          </w:tcPr>
          <w:p>
            <w:pPr/>
            <w:r>
              <w:rPr>
                <w:sz w:val="22"/>
                <w:szCs w:val="22"/>
                <w:b/>
              </w:rPr>
              <w:t xml:space="preserve">PRESENTATION:  </w:t>
            </w:r>
          </w:p>
        </w:tc>
        <w:tc>
          <w:tcPr>
            <w:tcW w:w="5000" w:type="dxa"/>
            <w:gridSpan w:val="2"/>
          </w:tcPr>
          <w:p>
            <w:pPr/>
            <w:r>
              <w:rPr/>
              <w:t xml:space="preserve">White coloured, caplet shaped, biconvex faced tablets, single scored and engraved 'SHELYS' on one face and triple scored and engraved 'P600' on the other, packed in blister strips of 10 tablets and 10 such strips in a unit box.</w:t>
            </w:r>
          </w:p>
        </w:tc>
      </w:tr>
      <w:tr>
        <w:trPr/>
        <w:tc>
          <w:tcPr>
            <w:tcW w:w="2100" w:type="dxa"/>
            <w:shd w:val="clear" w:color="" w:fill="C0C0C0"/>
          </w:tcPr>
          <w:p>
            <w:pPr>
              <w:jc w:val="center"/>
            </w:pPr>
            <w:r>
              <w:rPr>
                <w:sz w:val="22"/>
                <w:szCs w:val="22"/>
                <w:b/>
              </w:rPr>
              <w:t xml:space="preserve">MGF. DATE:</w:t>
            </w:r>
            <w:br/>
            <w:r>
              <w:rPr/>
              <w:t xml:space="preserve">Aug. 2014</w:t>
            </w:r>
          </w:p>
        </w:tc>
        <w:tc>
          <w:tcPr>
            <w:tcW w:w="2500" w:type="dxa"/>
          </w:tcPr>
          <w:p>
            <w:pPr/>
            <w:r>
              <w:rPr>
                <w:sz w:val="22"/>
                <w:szCs w:val="22"/>
                <w:b/>
              </w:rPr>
              <w:t xml:space="preserve">MANUFACTURER:  </w:t>
            </w:r>
          </w:p>
        </w:tc>
        <w:tc>
          <w:tcPr>
            <w:tcW w:w="5000" w:type="dxa"/>
            <w:gridSpan w:val="2"/>
          </w:tcPr>
          <w:p>
            <w:pPr/>
            <w:r>
              <w:rPr/>
              <w:t xml:space="preserve">SHELYS Pharmaceuticals Ltd.</w:t>
            </w:r>
          </w:p>
        </w:tc>
      </w:tr>
      <w:tr>
        <w:trPr/>
        <w:tc>
          <w:tcPr>
            <w:tcW w:w="2100" w:type="dxa"/>
            <w:shd w:val="clear" w:color="" w:fill="C0C0C0"/>
          </w:tcPr>
          <w:p>
            <w:pPr>
              <w:jc w:val="center"/>
            </w:pPr>
            <w:r>
              <w:rPr>
                <w:sz w:val="22"/>
                <w:szCs w:val="22"/>
                <w:b/>
              </w:rPr>
              <w:t xml:space="preserve">EXP. DATE:</w:t>
            </w:r>
            <w:br/>
            <w:r>
              <w:rPr/>
              <w:t xml:space="preserve">      Jul. 2018</w:t>
            </w:r>
          </w:p>
        </w:tc>
        <w:tc>
          <w:tcPr>
            <w:tcW w:w="2500" w:type="dxa"/>
          </w:tcPr>
          <w:p>
            <w:pPr/>
            <w:r>
              <w:rPr>
                <w:sz w:val="22"/>
                <w:szCs w:val="22"/>
                <w:b/>
              </w:rPr>
              <w:t xml:space="preserve">ADDRESS:  </w:t>
            </w:r>
          </w:p>
        </w:tc>
        <w:tc>
          <w:tcPr>
            <w:tcW w:w="5000" w:type="dxa"/>
            <w:gridSpan w:val="2"/>
          </w:tcPr>
          <w:p>
            <w:pPr/>
            <w:r>
              <w:rPr/>
              <w:t xml:space="preserve">Plot No. 696, New Bagamoyo Road, Mwenge,
P.O. Box 3016, Dar es salaam,
TANZANIA.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Beta Healthcare International Ltd P. O. Box 42569-00100, Nairobi, KENYA</w:t>
            </w:r>
          </w:p>
        </w:tc>
      </w:tr>
      <w:tr>
        <w:trPr/>
        <w:tc>
          <w:tcPr>
            <w:tcW w:w="2100" w:type="dxa"/>
            <w:shd w:val="clear" w:color="" w:fill="C0C0C0"/>
          </w:tcPr>
          <w:p>
            <w:pPr>
              <w:jc w:val="center"/>
            </w:pPr>
            <w:r>
              <w:rPr/>
              <w:t xml:space="preserve"/>
            </w:r>
          </w:p>
        </w:tc>
        <w:tc>
          <w:tcPr>
            <w:tcW w:w="2100" w:type="dxa"/>
          </w:tcPr>
          <w:p>
            <w:pPr/>
            <w:r>
              <w:rPr>
                <w:sz w:val="22"/>
                <w:szCs w:val="22"/>
                <w:b/>
              </w:rPr>
              <w:t xml:space="preserve">TEST(S) REQUESTED:  </w:t>
            </w:r>
          </w:p>
        </w:tc>
        <w:tc>
          <w:tcPr>
            <w:tcW w:w="5000" w:type="dxa"/>
            <w:gridSpan w:val="2"/>
          </w:tcPr>
          <w:p>
            <w:pPr/>
            <w:r>
              <w:rPr/>
              <w:t xml:space="preserve">Uniformity of Weight, Microbial Load,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2016 Vol. V
 App XII C</w:t>
            </w:r>
          </w:p>
        </w:tc>
        <w:tc>
          <w:tcPr>
            <w:tcW w:w="2600" w:type="dxa"/>
          </w:tcPr>
          <w:p>
            <w:pPr>
              <w:pStyle w:val="pStyle"/>
            </w:pPr>
            <w:r>
              <w:rPr/>
              <w:t xml:space="preserve">NMT 2 tablets deviate by more than 5% from mean tablet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Microbial Load</w:t>
            </w:r>
          </w:p>
        </w:tc>
        <w:tc>
          <w:tcPr>
            <w:tcW w:w="1200" w:type="dxa"/>
          </w:tcPr>
          <w:p>
            <w:pPr>
              <w:pStyle w:val="pStyle"/>
            </w:pPr>
            <w:r>
              <w:rPr/>
              <w:t xml:space="preserve">Plate count</w:t>
            </w:r>
          </w:p>
        </w:tc>
        <w:tc>
          <w:tcPr>
            <w:tcW w:w="1400" w:type="dxa"/>
          </w:tcPr>
          <w:p>
            <w:pPr>
              <w:pStyle w:val="pStyle"/>
            </w:pPr>
            <w:r>
              <w:rPr/>
              <w:t xml:space="preserve">BP 2016 Vol. V   
App. XVI B</w:t>
            </w:r>
          </w:p>
        </w:tc>
        <w:tc>
          <w:tcPr>
            <w:tcW w:w="2600" w:type="dxa"/>
          </w:tcPr>
          <w:p>
            <w:pPr>
              <w:pStyle w:val="pStyle"/>
            </w:pPr>
            <w:r>
              <w:rPr/>
              <w:t xml:space="preserve">                        
             Total  Aerobic Microbial Count  (TAMC)
NMT 200  CFU/g
: Total Combined 
Yeasts /Moulds  Count (TYMC) 
NMT 20 CFU/g      </w:t>
            </w:r>
          </w:p>
        </w:tc>
        <w:tc>
          <w:tcPr>
            <w:tcW w:w="2000" w:type="dxa"/>
          </w:tcPr>
          <w:p>
            <w:pPr>
              <w:pStyle w:val="pStyle"/>
            </w:pPr>
            <w:r>
              <w:rPr/>
              <w:t xml:space="preserve">&lt; 10 CFU/g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Microbial Load</w:t>
            </w:r>
          </w:p>
        </w:tc>
        <w:tc>
          <w:tcPr>
            <w:tcW w:w="1200" w:type="dxa"/>
          </w:tcPr>
          <w:p>
            <w:pPr>
              <w:pStyle w:val="pStyle"/>
            </w:pPr>
            <w:r>
              <w:rPr/>
              <w:t xml:space="preserve">Plate count</w:t>
            </w:r>
          </w:p>
        </w:tc>
        <w:tc>
          <w:tcPr>
            <w:tcW w:w="1400" w:type="dxa"/>
          </w:tcPr>
          <w:p>
            <w:pPr>
              <w:pStyle w:val="pStyle"/>
            </w:pPr>
            <w:r>
              <w:rPr/>
              <w:t xml:space="preserve">BP 2016 Vol. V   
App. XVI B</w:t>
            </w:r>
          </w:p>
        </w:tc>
        <w:tc>
          <w:tcPr>
            <w:tcW w:w="2600" w:type="dxa"/>
          </w:tcPr>
          <w:p>
            <w:pPr>
              <w:pStyle w:val="pStyle"/>
            </w:pPr>
            <w:r>
              <w:rPr/>
              <w:t xml:space="preserve">                        
             Total  Aerobic Microbial Count  (TAMC)
NMT 200  CFU/g
: Total Combined 
Yeasts /Moulds  Count (TYMC) 
NMT 20 CFU/g      </w:t>
            </w:r>
          </w:p>
        </w:tc>
        <w:tc>
          <w:tcPr>
            <w:tcW w:w="2000" w:type="dxa"/>
          </w:tcPr>
          <w:p>
            <w:pPr>
              <w:pStyle w:val="pStyle"/>
            </w:pPr>
            <w:r>
              <w:rPr/>
              <w:t xml:space="preserve"> 
&lt; 10 CFU/g                       </w:t>
            </w:r>
          </w:p>
        </w:tc>
        <w:tc>
          <w:tcPr>
            <w:tcW w:w="800" w:type="dxa"/>
            <w:shd w:val="clear" w:color="" w:fill="dbdbdb"/>
          </w:tcPr>
          <w:p>
            <w:pPr>
              <w:pStyle w:val="pStyle"/>
            </w:pPr>
            <w:r>
              <w:rPr>
                <w:b/>
              </w:rPr>
              <w:t xml:space="preserve">COMPLIES:COMPLIES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4969</w:t>
            </w:r>
          </w:p>
        </w:tc>
        <w:tc>
          <w:tcPr>
            <w:tcW w:w="2600" w:type="dxa"/>
          </w:tcPr>
          <w:p>
            <w:pPr>
              <w:pStyle w:val="pStyle"/>
            </w:pPr>
            <w:r>
              <w:rPr/>
              <w:t xml:space="preserve">RT of the major peak in  the assay sample preparation corresponds to that in the assay standard preparation</w:t>
            </w:r>
          </w:p>
        </w:tc>
        <w:tc>
          <w:tcPr>
            <w:tcW w:w="2000" w:type="dxa"/>
          </w:tcPr>
          <w:p>
            <w:pPr>
              <w:pStyle w:val="pStyle"/>
            </w:pPr>
            <w:r>
              <w:rPr/>
              <w:t xml:space="preserve">Super-imposable peak at RT 9.8 -/+ 10%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UV</w:t>
            </w:r>
          </w:p>
        </w:tc>
        <w:tc>
          <w:tcPr>
            <w:tcW w:w="1400" w:type="dxa"/>
          </w:tcPr>
          <w:p>
            <w:pPr>
              <w:pStyle w:val="pStyle"/>
            </w:pPr>
            <w:r>
              <w:rPr/>
              <w:t xml:space="preserve">USP 38 NF 33 
Page 4969</w:t>
            </w:r>
          </w:p>
        </w:tc>
        <w:tc>
          <w:tcPr>
            <w:tcW w:w="2600" w:type="dxa"/>
          </w:tcPr>
          <w:p>
            <w:pPr>
              <w:pStyle w:val="pStyle"/>
            </w:pPr>
            <w:r>
              <w:rPr/>
              <w:t xml:space="preserve">No tablet less than 80% 
(n=6)
</w:t>
            </w:r>
          </w:p>
        </w:tc>
        <w:tc>
          <w:tcPr>
            <w:tcW w:w="2000" w:type="dxa"/>
          </w:tcPr>
          <w:p>
            <w:pPr>
              <w:pStyle w:val="pStyle"/>
            </w:pPr>
            <w:r>
              <w:rPr/>
              <w:t xml:space="preserve"> 93.8% 
(RSD=6.4%;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Page 4969</w:t>
            </w:r>
          </w:p>
        </w:tc>
        <w:tc>
          <w:tcPr>
            <w:tcW w:w="2600" w:type="dxa"/>
          </w:tcPr>
          <w:p>
            <w:pPr>
              <w:pStyle w:val="pStyle"/>
            </w:pPr>
            <w:r>
              <w:rPr/>
              <w:t xml:space="preserve">90.0 - 110.0%</w:t>
            </w:r>
          </w:p>
        </w:tc>
        <w:tc>
          <w:tcPr>
            <w:tcW w:w="2000" w:type="dxa"/>
          </w:tcPr>
          <w:p>
            <w:pPr>
              <w:pStyle w:val="pStyle"/>
            </w:pPr>
            <w:r>
              <w:rPr/>
              <w:t xml:space="preserve"> 93.5% 
(RSD=1.5%; n=9) </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MR. F. NAULA</w:t>
            </w:r>
          </w:p>
        </w:tc>
        <w:tc>
          <w:tcPr>
            <w:tcW w:w="2500" w:type="dxa"/>
            <w:tcBorders>
              <w:bottom w:val="single" w:sz="1" w:color="000000"/>
            </w:tcBorders>
          </w:tcPr>
          <w:p/>
        </w:tc>
        <w:tc>
          <w:tcPr>
            <w:tcW w:w="2500" w:type="dxa"/>
          </w:tcPr>
          <w:p>
            <w:pPr>
              <w:pStyle w:val="UTF-8"/>
            </w:pPr>
            <w:r>
              <w:t xml:space="preserve">DATE:28-09-2015</w:t>
            </w:r>
          </w:p>
        </w:tc>
      </w:tr>
      <w:tr>
        <w:trPr>
          <w:trHeight w:val="100" w:hRule="atLeast"/>
        </w:trPr>
        <w:tc>
          <w:tcPr>
            <w:tcW w:w="1500" w:type="dxa"/>
          </w:tcPr>
          <w:p>
            <w:pPr/>
            <w:r>
              <w:rPr/>
              <w:t xml:space="preserve">ANALYST:</w:t>
            </w:r>
          </w:p>
        </w:tc>
        <w:tc>
          <w:tcPr>
            <w:tcW w:w="3000" w:type="dxa"/>
          </w:tcPr>
          <w:p>
            <w:pPr/>
            <w:r>
              <w:rPr/>
              <w:t xml:space="preserve">DR. J. CHEPCHUMBA</w:t>
            </w:r>
          </w:p>
        </w:tc>
        <w:tc>
          <w:tcPr>
            <w:tcW w:w="2500" w:type="dxa"/>
            <w:tcBorders>
              <w:bottom w:val="single" w:sz="1" w:color="000000"/>
            </w:tcBorders>
          </w:tcPr>
          <w:p/>
        </w:tc>
        <w:tc>
          <w:tcPr>
            <w:tcW w:w="2500" w:type="dxa"/>
          </w:tcPr>
          <w:p>
            <w:pPr>
              <w:pStyle w:val="UTF-8"/>
            </w:pPr>
            <w:r>
              <w:t xml:space="preserve">DATE:22-02-2016</w:t>
            </w:r>
          </w:p>
        </w:tc>
      </w:tr>
      <w:tr>
        <w:trPr>
          <w:trHeight w:val="100" w:hRule="atLeast"/>
        </w:trPr>
        <w:tc>
          <w:tcPr>
            <w:tcW w:w="1500" w:type="dxa"/>
          </w:tcPr>
          <w:p>
            <w:pPr/>
            <w:r>
              <w:rPr/>
              <w:t xml:space="preserve">ANALYST:</w:t>
            </w:r>
          </w:p>
        </w:tc>
        <w:tc>
          <w:tcPr>
            <w:tcW w:w="3000" w:type="dxa"/>
          </w:tcPr>
          <w:p>
            <w:pPr/>
            <w:r>
              <w:rPr/>
              <w:t xml:space="preserve">DR. S. MUTERU</w:t>
            </w:r>
          </w:p>
        </w:tc>
        <w:tc>
          <w:tcPr>
            <w:tcW w:w="2500" w:type="dxa"/>
            <w:tcBorders>
              <w:bottom w:val="single" w:sz="1" w:color="000000"/>
            </w:tcBorders>
          </w:tcPr>
          <w:p/>
        </w:tc>
        <w:tc>
          <w:tcPr>
            <w:tcW w:w="2500" w:type="dxa"/>
          </w:tcPr>
          <w:p>
            <w:pPr>
              <w:pStyle w:val="UTF-8"/>
            </w:pPr>
            <w:r>
              <w:t xml:space="preserve">DATE:24-02-2016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DATE:03-07-2016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2016-03-09T09:51:53+01:00</dcterms:created>
  <dcterms:modified xsi:type="dcterms:W3CDTF">2016-03-09T09:51:53+01:00</dcterms:modified>
</cp:coreProperties>
</file>

<file path=docProps/custom.xml><?xml version="1.0" encoding="utf-8"?>
<Properties xmlns="http://schemas.openxmlformats.org/officeDocument/2006/custom-properties" xmlns:vt="http://schemas.openxmlformats.org/officeDocument/2006/docPropsVTypes"/>
</file>