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KALETRAÂ® ORAL SOLUTION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NDQD201509273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09.09.2015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1 mL contains 80 mg Lopinavir and 20 mg Ritonavir.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6039098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Straw coloured solution for oral administration, contained
in a 60 mL amber coloured plastic bottle with a child proof cap. 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Oct. 2013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ABBOTT Laboratories S.A Pty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Sep.2015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Abbott Place,
219 Golf Club Terrace/Golf Club Terrace 219,
Constantia Kloof, 1709,
SOUTH AFRICA.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National AIDS and STI Control Programme P.O. BOX 19361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>LPV/10/10.03.2015/00058</w:t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Microbial Load, Identification, Assay, Acidity/Alkalinity</w:t>
            </w:r>
          </w:p>
        </w:tc>
      </w:tr>
    </w:tbl>
    <w:p/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Microbial Load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Total Aerobic Microbial Count (TAMC) NMT 200 CFU/mL 
Total Combined Yeasts /Moulds  Count (TYMC)
NMT 20 CFU/mL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Total  Aerobic Microbial Count
 (TAMC) &lt; 200 CFU/mL
Total Combined Yeasts /Moulds  Count
 (TYMC) &lt; 20 CFU/mL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Ph. Int. - 
5th  Edition 2015 (Online version)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in  the assay sample preparation correspond to those in 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Ph. Int. - 
5th  Edition 2015 (Online version)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in  the assay sample preparation correspond to those in 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5.5, 7.2 Â± 10% min.
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Ph. Int. - 
5th  Edition 2015 (Online version)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Lopinavir; 106.0%
(RSD=0.1%, n=9)
Ritonavir;  102.5%
(RSD=0.2%,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pH: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B.P. 2012 Vol V App VL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-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4.6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/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F. NAULA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DATE:10-09-2015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L. KARANJA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DATE:23-09-2015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M . KWENA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DATE:01-10- 2015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SERAH MUTERU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DATE:10-12-2015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DATE:10-15-2015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2015-10-16T15:12:24+02:00</dcterms:created>
  <dcterms:modified xsi:type="dcterms:W3CDTF">2015-10-16T15:12:24+02:00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