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z w:val="36"/>
          <w:szCs w:val="36"/>
          <w:b/>
        </w:rPr>
        <w:t xml:space="preserve">CERTIFICATE OF ANALYSIS</w:t>
      </w:r>
    </w:p>
    <w:p>
      <w:pPr>
        <w:jc w:val="center"/>
      </w:pPr>
      <w:r>
        <w:rPr>
          <w:sz w:val="24"/>
          <w:szCs w:val="24"/>
          <w:b/>
        </w:rPr>
        <w:t xml:space="preserve">CERTIFICATE No: </w:t>
      </w:r>
      <w:r>
        <w:rPr>
          <w:sz w:val="24"/>
          <w:szCs w:val="24"/>
          <w:u w:val="single"/>
        </w:rPr>
        <w:t xml:space="preserve">CAN/2016-2017/179</w:t>
      </w:r>
    </w:p>
    <w:tbl>
      <w:tblGrid>
        <w:gridCol w:w="2100" w:type="dxa"/>
        <w:gridCol w:w="6200" w:type="dxa"/>
        <w:gridCol w:w="3500" w:type="dxa"/>
      </w:tblGrid>
      <w:tblPr>
        <w:jc w:val="center"/>
        <w:tblW w:w="0" w:type="pct"/>
      </w:tblPr>
      <w:tr>
        <w:trPr>
          <w:trHeight w:val="400" w:hRule="atLeast"/>
        </w:trPr>
        <w:tc>
          <w:tcPr>
            <w:tcW w:w="2100" w:type="dxa"/>
            <w:vAlign w:val="center"/>
            <w:shd w:val="clear" w:color="" w:fill="D9D9D9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PRODUCT</w:t>
            </w:r>
          </w:p>
        </w:tc>
        <w:tc>
          <w:tcPr>
            <w:tcW w:w="6200" w:type="dxa"/>
            <w:shd w:val="clear" w:color="" w:fill="D9D9D9"/>
            <w:gridSpan w:val="2"/>
          </w:tcPr>
          <w:p>
            <w:pPr/>
            <w:r>
              <w:rPr/>
              <w:t xml:space="preserve">AIVCLAV - 228.5 FOR ORAL SUSPENSION</w:t>
            </w:r>
          </w:p>
        </w:tc>
        <w:tc>
          <w:tcPr>
            <w:tcW w:w="3500" w:type="dxa"/>
            <w:vAlign w:val="center"/>
            <w:shd w:val="clear" w:color="" w:fill="D9D9D9"/>
          </w:tcPr>
          <w:p>
            <w:pPr/>
            <w:r>
              <w:rPr>
                <w:sz w:val="16"/>
                <w:szCs w:val="16"/>
                <w:b/>
              </w:rPr>
              <w:t xml:space="preserve">REF. NO: NDQD201512621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DATE RECEIVED:</w:t>
            </w:r>
            <w:br/>
            <w:r>
              <w:rPr>
                <w:sz w:val="16"/>
                <w:szCs w:val="16"/>
              </w:rPr>
              <w:t xml:space="preserve">08-12-2015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LABEL CLAIM: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Each 5 mL of the reconstituted suspension contains: Amoxicillin Trihydrate BP equivalent to Amoxicillin 200 mg and Diluted Potassium Clavulanate BP equivalent to Clavulanic Acid 28.5 mg.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BATCH NO.:</w:t>
            </w:r>
            <w:br/>
            <w:r>
              <w:rPr>
                <w:sz w:val="16"/>
                <w:szCs w:val="16"/>
              </w:rPr>
              <w:t xml:space="preserve">ED 15 J 007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PRESENTATION: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Off white coloured, free flowing, powder for reconstitution into oral suspension contained in a 100 mL amber coloured glass bottle and supplied packed with a 10 mL graduated clear plastic measuring cap in a printed box.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MFG. DATE:</w:t>
            </w:r>
            <w:br/>
            <w:r>
              <w:rPr>
                <w:sz w:val="16"/>
                <w:szCs w:val="16"/>
              </w:rPr>
              <w:t xml:space="preserve">Aug. 2015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MANUFACTURER: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MEDICEF Pharma.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EXP. DATE:</w:t>
            </w:r>
            <w:br/>
            <w:r>
              <w:rPr>
                <w:sz w:val="16"/>
                <w:szCs w:val="16"/>
              </w:rPr>
              <w:t xml:space="preserve"> Jul. 2017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ADDRESS: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#28, Phase - I, EPIP Jharmajri, 
Baddi, Distt. Solan, (H.P.),
INDIA.</w:t>
            </w:r>
          </w:p>
        </w:tc>
      </w:tr>
      <w:tr>
        <w:trPr>
          <w:trHeight w:val="600" w:hRule="atLeast"/>
        </w:trPr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  <w:b/>
              </w:rPr>
              <w:t xml:space="preserve">CLIENT REF NO:</w:t>
            </w:r>
          </w:p>
        </w:tc>
        <w:tc>
          <w:tcPr>
            <w:tcW w:w="2000" w:type="dxa"/>
          </w:tcPr>
          <w:p>
            <w:pPr/>
            <w:r>
              <w:rPr>
                <w:sz w:val="16"/>
                <w:szCs w:val="16"/>
                <w:b/>
              </w:rPr>
              <w:t xml:space="preserve">CLIENT: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Aiveen (K) LTD.  P. O. Box 41601 - 00100, NAIROBI, KENYA.</w:t>
            </w:r>
          </w:p>
        </w:tc>
      </w:tr>
      <w:tr>
        <w:trPr/>
        <w:tc>
          <w:tcPr>
            <w:tcW w:w="1500" w:type="dxa"/>
            <w:shd w:val="clear" w:color="" w:fill="C0C0C0"/>
          </w:tcPr>
          <w:p>
            <w:pPr>
              <w:jc w:val="center"/>
            </w:pPr>
            <w:r>
              <w:rPr>
                <w:sz w:val="16"/>
                <w:szCs w:val="16"/>
              </w:rPr>
              <w:t xml:space="preserve">-</w:t>
            </w:r>
          </w:p>
        </w:tc>
        <w:tc>
          <w:tcPr>
            <w:tcW w:w="2100" w:type="dxa"/>
          </w:tcPr>
          <w:p>
            <w:pPr/>
            <w:r>
              <w:rPr>
                <w:sz w:val="16"/>
                <w:szCs w:val="16"/>
                <w:b/>
              </w:rPr>
              <w:t xml:space="preserve">TEST(S) REQUESTED:  </w:t>
            </w:r>
          </w:p>
        </w:tc>
        <w:tc>
          <w:tcPr>
            <w:tcW w:w="5000" w:type="dxa"/>
            <w:gridSpan w:val="2"/>
          </w:tcPr>
          <w:p>
            <w:pPr/>
            <w:r>
              <w:rPr>
                <w:sz w:val="16"/>
                <w:szCs w:val="16"/>
              </w:rPr>
              <w:t xml:space="preserve">Microbial Load, Identification, Assay, Acidity/Alkalinity</w:t>
            </w:r>
          </w:p>
        </w:tc>
      </w:tr>
    </w:tbl>
    <w:p/>
    <w:p>
      <w:pPr>
        <w:jc w:val="center"/>
      </w:pPr>
      <w:r>
        <w:rPr>
          <w:sz w:val="16"/>
          <w:szCs w:val="16"/>
          <w:b/>
        </w:rPr>
        <w:t xml:space="preserve">RESULTS</w:t>
      </w:r>
    </w:p>
    <w:p/>
    <w:tbl>
      <w:tblGrid>
        <w:gridCol w:w="1200" w:type="dxa"/>
        <w:gridCol w:w="1200" w:type="dxa"/>
        <w:gridCol w:w="1400" w:type="dxa"/>
        <w:gridCol w:w="2600" w:type="dxa"/>
        <w:gridCol w:w="2000" w:type="dxa"/>
        <w:gridCol w:w="800" w:type="dxa"/>
      </w:tblGrid>
      <w:tblPr>
        <w:jc w:val="center"/>
        <w:tblW w:w="0" w:type="pct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1200" w:type="dxa"/>
            <w:vAlign w:val="center"/>
            <w:shd w:val="clear" w:color="" w:fill="CCCCCC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TEST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METHOD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COMPEDIA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SPECIFICATION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DETERMINED</w:t>
            </w:r>
          </w:p>
        </w:tc>
        <w:tc>
          <w:tcPr>
            <w:tcW w:w="800" w:type="dxa"/>
            <w:vAlign w:val="center"/>
            <w:shd w:val="clear" w:color="" w:fill="D9D9D9"/>
          </w:tcPr>
          <w:p>
            <w:pPr>
              <w:pStyle w:val="pStyle"/>
            </w:pPr>
            <w:r>
              <w:rPr>
                <w:rFonts w:ascii="Book Antiqua" w:hAnsi="Book Antiqua" w:eastAsia="Book Antiqua" w:cs="Book Antiqua"/>
                <w:sz w:val="18"/>
                <w:szCs w:val="18"/>
                <w:b/>
              </w:rPr>
              <w:t xml:space="preserve">REMARKS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Microbial Load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BP 2016 Vol. V 
App. XVI B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Total Aerobic Microbial Counts (TAMC) NMT 200 CFU/g
Total Combined Yeast/Moulds Counts (TYMC) NMT 20 CFU/g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TAMC 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Microbial Load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TYMC &lt; 10 CFU/g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Acidity/Alkalinity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pH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3.8 - 6.6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6.1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Identification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RT of the Major Peaks in  the assay sample preparation corresponds to those in  the assay standard preparation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Super-imposable peaks at RT 3.8 &amp; 5.9 -/+ 10% min present in both the assay sample and standard preparations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HPLC</w:t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USP 38 NF 33
page 2226</w:t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90.0 - 120.0%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Amoxicillin  
Day 1
115.8%
(RSD=1.3%; n=9) 
Day 7
110.0%
(RSD=0.7%; n=9) 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>COMPLIES</w:t>
            </w:r>
          </w:p>
        </w:tc>
      </w:tr>
      <w:tr>
        <w:trPr>
          <w:trHeight w:val="600" w:hRule="atLeast"/>
        </w:trPr>
        <w:tc>
          <w:tcPr>
            <w:tcW w:w="12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b/>
              </w:rPr>
              <w:t xml:space="preserve">Assay</w:t>
            </w:r>
          </w:p>
        </w:tc>
        <w:tc>
          <w:tcPr>
            <w:tcW w:w="12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14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/>
            </w:r>
          </w:p>
        </w:tc>
        <w:tc>
          <w:tcPr>
            <w:tcW w:w="26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90.0 - 125.0%
</w:t>
            </w:r>
          </w:p>
        </w:tc>
        <w:tc>
          <w:tcPr>
            <w:tcW w:w="2000" w:type="dxa"/>
            <w:vAlign w:val="center"/>
          </w:tcPr>
          <w:p>
            <w:pPr>
              <w:pStyle w:val="pStyle"/>
            </w:pPr>
            <w:r>
              <w:rPr>
                <w:sz w:val="18"/>
                <w:szCs w:val="18"/>
              </w:rPr>
              <w:t xml:space="preserve">  Clavulanic Acid
Day 1
124.6%
(RSD=0.5%; n=9)
Day 7
102.4%
(RSD=0.4%; n=9)</w:t>
            </w:r>
          </w:p>
        </w:tc>
        <w:tc>
          <w:tcPr>
            <w:tcW w:w="800" w:type="dxa"/>
            <w:vAlign w:val="center"/>
            <w:shd w:val="clear" w:color="" w:fill="dbdbdb"/>
          </w:tcPr>
          <w:p>
            <w:pPr>
              <w:pStyle w:val="pStyle"/>
            </w:pPr>
            <w:r>
              <w:rPr>
                <w:sz w:val="16"/>
                <w:szCs w:val="16"/>
                <w:b/>
              </w:rPr>
              <w:t xml:space="preserve"/>
            </w:r>
          </w:p>
        </w:tc>
      </w:tr>
    </w:tbl>
    <w:p/>
    <w:p>
      <w:pPr>
        <w:jc w:val="left"/>
      </w:pPr>
      <w:r>
        <w:rPr>
          <w:b/>
        </w:rPr>
        <w:t xml:space="preserve">CONCLUSION: </w:t>
      </w:r>
      <w:r>
        <w:rPr>
          <w:sz w:val="16"/>
          <w:szCs w:val="16"/>
          <w:shd w:val="clear" w:color="" w:fill="D9D9D9"/>
        </w:rPr>
        <w:t xml:space="preserve">The product complies with the specifications for the tests performed.</w:t>
      </w:r>
    </w:p>
    <w:p/>
    <w:tbl>
      <w:tblGrid>
        <w:gridCol w:w="1500" w:type="dxa"/>
        <w:gridCol w:w="2100" w:type="dxa"/>
        <w:gridCol w:w="2000" w:type="dxa"/>
        <w:gridCol w:w="2000" w:type="dxa"/>
      </w:tblGrid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FRANCIS  NAULA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12-17-2015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ERIC MUTUA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12-21-2015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REVIEWER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DR. GEORGE WANG'ANG'A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04-10-2016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ANALYST: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ERNEST MBAE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10-05-2016</w:t>
            </w:r>
          </w:p>
        </w:tc>
      </w:tr>
      <w:tr>
        <w:trPr>
          <w:trHeight w:val="400" w:hRule="atLeast"/>
        </w:trPr>
        <w:tc>
          <w:tcPr>
            <w:tcW w:w="1500" w:type="dxa"/>
            <w:vAlign w:val="bottom"/>
          </w:tcPr>
          <w:p>
            <w:pPr/>
            <w:r>
              <w:rPr>
                <w:sz w:val="16"/>
                <w:szCs w:val="16"/>
                <w:b/>
              </w:rPr>
              <w:t xml:space="preserve">DIRECTOR:</w:t>
            </w:r>
          </w:p>
        </w:tc>
        <w:tc>
          <w:tcPr>
            <w:tcW w:w="2100" w:type="dxa"/>
            <w:vAlign w:val="bottom"/>
          </w:tcPr>
          <w:p>
            <w:pPr/>
            <w:r>
              <w:rPr>
                <w:sz w:val="16"/>
                <w:szCs w:val="16"/>
              </w:rPr>
              <w:t xml:space="preserve">HEZEKIAH CHEPKWONY</w:t>
            </w:r>
          </w:p>
        </w:tc>
        <w:tc>
          <w:tcPr>
            <w:tcW w:w="2000" w:type="dxa"/>
            <w:vAlign w:val="bottom"/>
          </w:tcPr>
          <w:p>
            <w:pPr/>
            <w:r>
              <w:rPr/>
              <w:t xml:space="preserve">..........................................................</w:t>
            </w:r>
          </w:p>
        </w:tc>
        <w:tc>
          <w:tcPr>
            <w:tcW w:w="2000" w:type="dxa"/>
            <w:vAlign w:val="bottom"/>
          </w:tcPr>
          <w:p>
            <w:pPr>
              <w:pStyle w:val="UTF-8"/>
            </w:pPr>
            <w:r>
              <w:t xml:space="preserve">DATE: 10-13-2016</w:t>
            </w:r>
          </w:p>
        </w:tc>
      </w:tr>
    </w:tbl>
    <w:sectPr>
      <w:pgSz w:orient="portrait" w:w="11908.8" w:h="16833.6"/>
      <w:pgMar w:top="2347.2" w:right="1800" w:bottom="288" w:left="180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 Antiqua" w:hAnsi="Book Antiqua" w:eastAsia="Book Antiqua" w:cs="Book Antiqua"/>
        <w:sz w:val="20"/>
        <w:szCs w:val="20"/>
      </w:rPr>
    </w:rPrDefault>
  </w:docDefaults>
  <w:style w:type="paragraph" w:default="1" w:styleId="Normal">
    <w:name w:val="Normal"/>
    <w:pPr>
      <w:spacing w:after="0" w:line="24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paragraph" w:customStyle="1" w:styleId="pStyle">
    <w:name w:val="pStyle"/>
    <w:basedOn w:val="Normal"/>
    <w:pPr>
      <w:jc w:val="center"/>
      <w:spacing w:before="0" w:after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2016-10-25T08:57:15+02:00</dcterms:created>
  <dcterms:modified xsi:type="dcterms:W3CDTF">2016-10-25T08:57:15+02:00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