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CAN/2016-2017/221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ERYMAC 250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NDQD201605938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/>
              <w:t xml:space="preserve">12.05.2016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Erythromycin stearate BP equivalent to 250 mg Erythromycin.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/>
              <w:t xml:space="preserve">BR 508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Pink coloured, circular shaped, biconvex faced tablets, plain on both faces, packed in a blister strip of 10 tablets and 10 such blisters packed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/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TRIVENI Formulations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/>
              <w:t xml:space="preserve"> Jul.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Plot No. 52, ALEAP, Industrial Estate, 
Surampalli, A.P., 521 212,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Ltd., P.O Box 41601-00100-Nairobi,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Microbial Assay, Identification, Dissolution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3362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RF value of the principal spot obtained from the sample solution corresponds to that obtained from the Standard solution.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Principle spot at RF value 0.74 +/- 5%  obtained from both the sample and standard solutions.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3362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83%-85%  
(RSD=0.6%;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Assay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3362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100.9%
(RSD=1.8%,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18-07-16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19-07-2016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2016-11-03T10:37:15+01:00</dcterms:created>
  <dcterms:modified xsi:type="dcterms:W3CDTF">2016-11-03T10:37:15+01:00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