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314" w:lineRule="exact" w:before="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80"/>
          <w:sz w:val="28"/>
        </w:rPr>
        <w:t xml:space="preserve">7.0 </w:t>
      </w:r>
      <w:r>
        <w:tab/>
      </w:r>
      <w:r>
        <w:rPr>
          <w:rFonts w:ascii="Arial" w:hAnsi="Arial" w:eastAsia="Arial"/>
          <w:b/>
          <w:i w:val="0"/>
          <w:color w:val="000080"/>
          <w:sz w:val="28"/>
        </w:rPr>
        <w:t xml:space="preserve">Activation and Notification </w:t>
      </w:r>
    </w:p>
    <w:p>
      <w:pPr>
        <w:autoSpaceDN w:val="0"/>
        <w:autoSpaceDE w:val="0"/>
        <w:widowControl/>
        <w:spacing w:line="254" w:lineRule="exact" w:before="296" w:after="0"/>
        <w:ind w:left="280" w:right="28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This business continuity plan should be activated if there is an impact on services described in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section 4. If there is a wider impact than those listed in this plan these areas should be notified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along with the on call manager and/or chief operating officer as well and consideration will be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given to activating the Trust’s overarching business continuity plan. </w:t>
      </w:r>
    </w:p>
    <w:p>
      <w:pPr>
        <w:autoSpaceDN w:val="0"/>
        <w:autoSpaceDE w:val="0"/>
        <w:widowControl/>
        <w:spacing w:line="252" w:lineRule="exact" w:before="250" w:after="144"/>
        <w:ind w:left="28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Notification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It is imperative that all patients, staff and stakeholders affected by the disruption are notified in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accordance with those listed in the Stakeholder analysis in section 3. In the event of a disruption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where the plan is activated the following should be notified along with any actions which can be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taken to support: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5"/>
        <w:gridCol w:w="3275"/>
        <w:gridCol w:w="3275"/>
      </w:tblGrid>
      <w:tr>
        <w:trPr>
          <w:trHeight w:hRule="exact" w:val="4184"/>
        </w:trPr>
        <w:tc>
          <w:tcPr>
            <w:tcW w:type="dxa" w:w="4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12" w:after="0"/>
              <w:ind w:left="280" w:right="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-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-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-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-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-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-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-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-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-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- </w:t>
            </w:r>
          </w:p>
          <w:p>
            <w:pPr>
              <w:autoSpaceDN w:val="0"/>
              <w:autoSpaceDE w:val="0"/>
              <w:widowControl/>
              <w:spacing w:line="314" w:lineRule="exact" w:before="43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80"/>
                <w:sz w:val="28"/>
              </w:rPr>
              <w:t>8.0</w:t>
            </w:r>
          </w:p>
        </w:tc>
        <w:tc>
          <w:tcPr>
            <w:tcW w:type="dxa" w:w="9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12" w:after="0"/>
              <w:ind w:left="236" w:right="187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Staff affected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Patients affected now and in the future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Other affected Trust services/divisions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Clinical Site Manager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Chief Operating Officer and/or deputy (in hours)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Executive Director on call (out of hours)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On Call Manager (out of hours)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IM&amp;T, Estates and Facilities if appropriate depending on nature of incident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Communications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Resilience Manager </w:t>
            </w:r>
          </w:p>
          <w:p>
            <w:pPr>
              <w:autoSpaceDN w:val="0"/>
              <w:autoSpaceDE w:val="0"/>
              <w:widowControl/>
              <w:spacing w:line="314" w:lineRule="exact" w:before="430" w:after="0"/>
              <w:ind w:left="31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80"/>
                <w:sz w:val="28"/>
              </w:rPr>
              <w:t xml:space="preserve">Response Procedures </w:t>
            </w:r>
          </w:p>
          <w:p>
            <w:pPr>
              <w:autoSpaceDN w:val="0"/>
              <w:autoSpaceDE w:val="0"/>
              <w:widowControl/>
              <w:spacing w:line="304" w:lineRule="exact" w:before="2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The process in managing an incident is much the same irrespective of the cause of the incident: </w:t>
            </w:r>
          </w:p>
          <w:p>
            <w:pPr>
              <w:autoSpaceDN w:val="0"/>
              <w:tabs>
                <w:tab w:pos="586" w:val="left"/>
              </w:tabs>
              <w:autoSpaceDE w:val="0"/>
              <w:widowControl/>
              <w:spacing w:line="270" w:lineRule="exact" w:before="0" w:after="0"/>
              <w:ind w:left="2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Identify the problem and assess impacts. </w:t>
            </w:r>
          </w:p>
        </w:tc>
      </w:tr>
      <w:tr>
        <w:trPr>
          <w:trHeight w:hRule="exact" w:val="320"/>
        </w:trPr>
        <w:tc>
          <w:tcPr>
            <w:tcW w:type="dxa" w:w="3275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4" w:after="0"/>
              <w:ind w:left="2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9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8" w:after="0"/>
              <w:ind w:left="24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Alert wider team. </w:t>
            </w:r>
          </w:p>
        </w:tc>
      </w:tr>
      <w:tr>
        <w:trPr>
          <w:trHeight w:hRule="exact" w:val="340"/>
        </w:trPr>
        <w:tc>
          <w:tcPr>
            <w:tcW w:type="dxa" w:w="3275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2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9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6" w:after="0"/>
              <w:ind w:left="24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Prevent escalation of incident. </w:t>
            </w:r>
          </w:p>
        </w:tc>
      </w:tr>
      <w:tr>
        <w:trPr>
          <w:trHeight w:hRule="exact" w:val="320"/>
        </w:trPr>
        <w:tc>
          <w:tcPr>
            <w:tcW w:type="dxa" w:w="3275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2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9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4" w:after="0"/>
              <w:ind w:left="24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Manage and coordinate the response to the incident </w:t>
            </w:r>
          </w:p>
        </w:tc>
      </w:tr>
      <w:tr>
        <w:trPr>
          <w:trHeight w:hRule="exact" w:val="320"/>
        </w:trPr>
        <w:tc>
          <w:tcPr>
            <w:tcW w:type="dxa" w:w="3275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2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9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6" w:after="0"/>
              <w:ind w:left="24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Seek assistance as appropriate. </w:t>
            </w:r>
          </w:p>
        </w:tc>
      </w:tr>
      <w:tr>
        <w:trPr>
          <w:trHeight w:hRule="exact" w:val="340"/>
        </w:trPr>
        <w:tc>
          <w:tcPr>
            <w:tcW w:type="dxa" w:w="3275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2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9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30" w:after="0"/>
              <w:ind w:left="24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Communicate widely. </w:t>
            </w:r>
          </w:p>
        </w:tc>
      </w:tr>
      <w:tr>
        <w:trPr>
          <w:trHeight w:hRule="exact" w:val="356"/>
        </w:trPr>
        <w:tc>
          <w:tcPr>
            <w:tcW w:type="dxa" w:w="3275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2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9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8" w:after="0"/>
              <w:ind w:left="24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Commence process to return to normality (recovery). </w:t>
            </w:r>
          </w:p>
        </w:tc>
      </w:tr>
    </w:tbl>
    <w:p>
      <w:pPr>
        <w:autoSpaceDN w:val="0"/>
        <w:autoSpaceDE w:val="0"/>
        <w:widowControl/>
        <w:spacing w:line="252" w:lineRule="exact" w:before="86" w:after="0"/>
        <w:ind w:left="42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Not all incidents will require the formation or activation of Response Teams or Control Rooms.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This is usually dependant on the severity or impact of the incident. </w:t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(see Appendix A, Figure1 – </w:t>
      </w:r>
      <w:r>
        <w:rPr>
          <w:rFonts w:ascii="Arial,Bold" w:hAnsi="Arial,Bold" w:eastAsia="Arial,Bold"/>
          <w:b/>
          <w:i w:val="0"/>
          <w:color w:val="000000"/>
          <w:sz w:val="22"/>
        </w:rPr>
        <w:t>Incident status chart )</w:t>
      </w:r>
    </w:p>
    <w:p>
      <w:pPr>
        <w:autoSpaceDN w:val="0"/>
        <w:autoSpaceDE w:val="0"/>
        <w:widowControl/>
        <w:spacing w:line="254" w:lineRule="exact" w:before="372" w:after="0"/>
        <w:ind w:left="28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Response Team and Location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 incident lead should be nominated and would normally be the most appropriate staff member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present at the time. This may be handed over as other staff arrive however consideration should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be given to operational experience and service knowledge as much as seniority for local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coordination of plans. </w:t>
      </w:r>
    </w:p>
    <w:p>
      <w:pPr>
        <w:autoSpaceDN w:val="0"/>
        <w:autoSpaceDE w:val="0"/>
        <w:widowControl/>
        <w:spacing w:line="254" w:lineRule="exact" w:before="252" w:after="0"/>
        <w:ind w:left="280" w:right="288" w:firstLine="12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Coordinating a local response from a single location is also good practice so those leading are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easily contactable and can record all key information in a single place. </w:t>
      </w:r>
    </w:p>
    <w:p>
      <w:pPr>
        <w:autoSpaceDN w:val="0"/>
        <w:autoSpaceDE w:val="0"/>
        <w:widowControl/>
        <w:spacing w:line="254" w:lineRule="exact" w:before="250" w:after="0"/>
        <w:ind w:left="280" w:right="0" w:firstLine="12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Appendix B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includes a proposed intial agenda , SBAR report </w:t>
      </w:r>
      <w:r>
        <w:rPr>
          <w:rFonts w:ascii="Arial,Bold" w:hAnsi="Arial,Bold" w:eastAsia="Arial,Bold"/>
          <w:b/>
          <w:i w:val="0"/>
          <w:color w:val="000000"/>
          <w:sz w:val="22"/>
        </w:rPr>
        <w:t>(Appendix B1)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and initial impacts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assessement </w:t>
      </w:r>
      <w:r>
        <w:rPr>
          <w:rFonts w:ascii="Arial,Bold" w:hAnsi="Arial,Bold" w:eastAsia="Arial,Bold"/>
          <w:b/>
          <w:i w:val="0"/>
          <w:color w:val="000000"/>
          <w:sz w:val="22"/>
        </w:rPr>
        <w:t>(Appendix B2)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that should be used to support initial actions. </w:t>
      </w:r>
    </w:p>
    <w:p>
      <w:pPr>
        <w:autoSpaceDN w:val="0"/>
        <w:autoSpaceDE w:val="0"/>
        <w:widowControl/>
        <w:spacing w:line="254" w:lineRule="exact" w:before="252" w:after="0"/>
        <w:ind w:left="280" w:right="3888" w:firstLine="12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Divisional/Departmental Level Command and Control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 principal of subsidiarity applies. </w:t>
      </w:r>
    </w:p>
    <w:p>
      <w:pPr>
        <w:autoSpaceDN w:val="0"/>
        <w:autoSpaceDE w:val="0"/>
        <w:widowControl/>
        <w:spacing w:line="254" w:lineRule="exact" w:before="118" w:after="0"/>
        <w:ind w:left="280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The division/department will be responsible for the operational recovery of all critical services &amp;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activities, functions, resources and facilities, with the following focus areas: </w:t>
      </w:r>
    </w:p>
    <w:sectPr w:rsidR="00FC693F" w:rsidRPr="0006063C" w:rsidSect="00034616">
      <w:pgSz w:w="11906" w:h="16838"/>
      <w:pgMar w:top="546" w:right="944" w:bottom="448" w:left="1136" w:header="720" w:footer="720" w:gutter="0"/>
      <w:cols w:space="720" w:num="1" w:equalWidth="0">
        <w:col w:w="98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