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92.0" w:type="dxa"/>
      </w:tblPr>
      <w:tblGrid>
        <w:gridCol w:w="5083"/>
        <w:gridCol w:w="5083"/>
      </w:tblGrid>
      <w:tr>
        <w:trPr>
          <w:trHeight w:hRule="exact" w:val="317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" w:after="0"/>
              <w:ind w:left="720" w:right="23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  <w:p>
            <w:pPr>
              <w:autoSpaceDN w:val="0"/>
              <w:autoSpaceDE w:val="0"/>
              <w:widowControl/>
              <w:spacing w:line="252" w:lineRule="auto" w:before="270" w:after="0"/>
              <w:ind w:left="726" w:right="232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  <w:p>
            <w:pPr>
              <w:autoSpaceDN w:val="0"/>
              <w:autoSpaceDE w:val="0"/>
              <w:widowControl/>
              <w:spacing w:line="250" w:lineRule="auto" w:before="268" w:after="0"/>
              <w:ind w:left="726" w:right="232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8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2" w:after="0"/>
              <w:ind w:left="2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Plan implementation, determining overall priorities and order of recovery priorities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Providing regular information and situation reports to the Resilience Manager (who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will in turn brief the Executive Team)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Reviewing operational plans and re-organising work priorities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Staff Welfare,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Keeping local Staff Informed (in conjunction with the Communications Team),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Local Health &amp; Safety (in conjunction with the Health and Safety Manager where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necessary),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Local Security (in conjunction with the Trust Security Manager where necessary),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Local Salvage (in conjunction with the Estates and Facilities teams),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Plan review post incident and capturing lessons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>(Appendix D3)</w:t>
            </w:r>
          </w:p>
        </w:tc>
      </w:tr>
    </w:tbl>
    <w:p>
      <w:pPr>
        <w:autoSpaceDN w:val="0"/>
        <w:autoSpaceDE w:val="0"/>
        <w:widowControl/>
        <w:spacing w:line="304" w:lineRule="exact" w:before="180" w:after="0"/>
        <w:ind w:left="72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Information Recording </w:t>
      </w:r>
    </w:p>
    <w:p>
      <w:pPr>
        <w:autoSpaceDN w:val="0"/>
        <w:autoSpaceDE w:val="0"/>
        <w:widowControl/>
        <w:spacing w:line="304" w:lineRule="exact" w:before="0" w:after="0"/>
        <w:ind w:left="708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Clear recording of decisions taken will help avoid confusion and ensure consistency at a time of </w:t>
      </w:r>
    </w:p>
    <w:p>
      <w:pPr>
        <w:autoSpaceDN w:val="0"/>
        <w:autoSpaceDE w:val="0"/>
        <w:widowControl/>
        <w:spacing w:line="302" w:lineRule="exact" w:before="0" w:after="0"/>
        <w:ind w:left="708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significant disruption.  It is also important for the Trust to have an audit trail of its command and </w:t>
      </w:r>
    </w:p>
    <w:p>
      <w:pPr>
        <w:autoSpaceDN w:val="0"/>
        <w:autoSpaceDE w:val="0"/>
        <w:widowControl/>
        <w:spacing w:line="304" w:lineRule="exact" w:before="0" w:after="0"/>
        <w:ind w:left="708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control judgments.  This information should be recorded in the Green Emergency Log Books. </w:t>
      </w:r>
    </w:p>
    <w:p>
      <w:pPr>
        <w:autoSpaceDN w:val="0"/>
        <w:autoSpaceDE w:val="0"/>
        <w:widowControl/>
        <w:spacing w:line="304" w:lineRule="exact" w:before="68" w:after="0"/>
        <w:ind w:left="708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As a minimum, these will include: </w:t>
      </w:r>
    </w:p>
    <w:p>
      <w:pPr>
        <w:autoSpaceDN w:val="0"/>
        <w:tabs>
          <w:tab w:pos="1986" w:val="left"/>
        </w:tabs>
        <w:autoSpaceDE w:val="0"/>
        <w:widowControl/>
        <w:spacing w:line="270" w:lineRule="exact" w:before="0" w:after="0"/>
        <w:ind w:left="141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 nature of the decision. </w:t>
      </w:r>
    </w:p>
    <w:p>
      <w:pPr>
        <w:autoSpaceDN w:val="0"/>
        <w:tabs>
          <w:tab w:pos="1986" w:val="left"/>
        </w:tabs>
        <w:autoSpaceDE w:val="0"/>
        <w:widowControl/>
        <w:spacing w:line="270" w:lineRule="exact" w:before="0" w:after="0"/>
        <w:ind w:left="141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 reason for the decision. </w:t>
      </w:r>
    </w:p>
    <w:p>
      <w:pPr>
        <w:autoSpaceDN w:val="0"/>
        <w:tabs>
          <w:tab w:pos="1986" w:val="left"/>
        </w:tabs>
        <w:autoSpaceDE w:val="0"/>
        <w:widowControl/>
        <w:spacing w:line="270" w:lineRule="exact" w:before="0" w:after="0"/>
        <w:ind w:left="141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 date and time of the decision. </w:t>
      </w:r>
    </w:p>
    <w:p>
      <w:pPr>
        <w:autoSpaceDN w:val="0"/>
        <w:tabs>
          <w:tab w:pos="1986" w:val="left"/>
        </w:tabs>
        <w:autoSpaceDE w:val="0"/>
        <w:widowControl/>
        <w:spacing w:line="270" w:lineRule="exact" w:before="0" w:after="0"/>
        <w:ind w:left="141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Who has taken the decision. </w:t>
      </w:r>
    </w:p>
    <w:p>
      <w:pPr>
        <w:autoSpaceDN w:val="0"/>
        <w:tabs>
          <w:tab w:pos="1986" w:val="left"/>
        </w:tabs>
        <w:autoSpaceDE w:val="0"/>
        <w:widowControl/>
        <w:spacing w:line="270" w:lineRule="exact" w:before="0" w:after="0"/>
        <w:ind w:left="141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 extent of consultation and advice from external stakeholders. </w:t>
      </w:r>
    </w:p>
    <w:p>
      <w:pPr>
        <w:autoSpaceDN w:val="0"/>
        <w:tabs>
          <w:tab w:pos="1986" w:val="left"/>
        </w:tabs>
        <w:autoSpaceDE w:val="0"/>
        <w:widowControl/>
        <w:spacing w:line="272" w:lineRule="exact" w:before="0" w:after="0"/>
        <w:ind w:left="141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Who has been notified of decisions made. </w:t>
      </w:r>
    </w:p>
    <w:p>
      <w:pPr>
        <w:autoSpaceDN w:val="0"/>
        <w:tabs>
          <w:tab w:pos="1986" w:val="left"/>
        </w:tabs>
        <w:autoSpaceDE w:val="0"/>
        <w:widowControl/>
        <w:spacing w:line="270" w:lineRule="exact" w:before="0" w:after="0"/>
        <w:ind w:left="141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Any review date set for revocation of the decision(s) where relevant. </w:t>
      </w:r>
    </w:p>
    <w:p>
      <w:pPr>
        <w:autoSpaceDN w:val="0"/>
        <w:tabs>
          <w:tab w:pos="1148" w:val="left"/>
        </w:tabs>
        <w:autoSpaceDE w:val="0"/>
        <w:widowControl/>
        <w:spacing w:line="312" w:lineRule="exact" w:before="482" w:after="0"/>
        <w:ind w:left="428" w:right="0" w:firstLine="0"/>
        <w:jc w:val="left"/>
      </w:pPr>
      <w:r>
        <w:rPr>
          <w:rFonts w:ascii="Arial" w:hAnsi="Arial" w:eastAsia="Arial"/>
          <w:b/>
          <w:i w:val="0"/>
          <w:color w:val="000080"/>
          <w:sz w:val="28"/>
        </w:rPr>
        <w:t xml:space="preserve">9.0 </w:t>
      </w:r>
      <w:r>
        <w:tab/>
      </w:r>
      <w:r>
        <w:rPr>
          <w:rFonts w:ascii="Arial" w:hAnsi="Arial" w:eastAsia="Arial"/>
          <w:b/>
          <w:i w:val="0"/>
          <w:color w:val="000080"/>
          <w:sz w:val="28"/>
        </w:rPr>
        <w:t xml:space="preserve">Recovery </w:t>
      </w:r>
    </w:p>
    <w:p>
      <w:pPr>
        <w:autoSpaceDN w:val="0"/>
        <w:autoSpaceDE w:val="0"/>
        <w:widowControl/>
        <w:spacing w:line="304" w:lineRule="exact" w:before="224" w:after="0"/>
        <w:ind w:left="85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The basis of the recovery for this plan will vary depending on the nature of the incident and </w:t>
      </w:r>
    </w:p>
    <w:p>
      <w:pPr>
        <w:autoSpaceDN w:val="0"/>
        <w:autoSpaceDE w:val="0"/>
        <w:widowControl/>
        <w:spacing w:line="304" w:lineRule="exact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whether or not a part of the facility at the affected site / sites is/are useable and readily </w:t>
      </w:r>
    </w:p>
    <w:p>
      <w:pPr>
        <w:autoSpaceDN w:val="0"/>
        <w:autoSpaceDE w:val="0"/>
        <w:widowControl/>
        <w:spacing w:line="304" w:lineRule="exact" w:before="0" w:after="0"/>
        <w:ind w:left="85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accessible, or whether a full off-site recovery is required.  During the recovery period, the </w:t>
      </w:r>
    </w:p>
    <w:p>
      <w:pPr>
        <w:autoSpaceDN w:val="0"/>
        <w:autoSpaceDE w:val="0"/>
        <w:widowControl/>
        <w:spacing w:line="302" w:lineRule="exact" w:before="0" w:after="0"/>
        <w:ind w:left="85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emphasis will be on getting services back to normal.  However, this needs to be set against the </w:t>
      </w:r>
    </w:p>
    <w:p>
      <w:pPr>
        <w:autoSpaceDN w:val="0"/>
        <w:autoSpaceDE w:val="0"/>
        <w:widowControl/>
        <w:spacing w:line="302" w:lineRule="exact" w:before="0" w:after="142"/>
        <w:ind w:left="85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situation.  Recovery Planning should be commenced early in the response phase.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83"/>
        <w:gridCol w:w="5083"/>
      </w:tblGrid>
      <w:tr>
        <w:trPr>
          <w:trHeight w:hRule="exact" w:val="6418"/>
        </w:trPr>
        <w:tc>
          <w:tcPr>
            <w:tcW w:type="dxa" w:w="6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13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V: 2.0 </w:t>
            </w:r>
          </w:p>
        </w:tc>
        <w:tc>
          <w:tcPr>
            <w:tcW w:type="dxa" w:w="9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48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Potential Impacts to Consider during the Recovery Phase </w:t>
            </w:r>
          </w:p>
          <w:p>
            <w:pPr>
              <w:autoSpaceDN w:val="0"/>
              <w:tabs>
                <w:tab w:pos="746" w:val="left"/>
              </w:tabs>
              <w:autoSpaceDE w:val="0"/>
              <w:widowControl/>
              <w:spacing w:line="270" w:lineRule="exact" w:before="0" w:after="0"/>
              <w:ind w:left="18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Increased amount of patients whose existing illnesses have been exacerbated by the </w:t>
            </w:r>
          </w:p>
          <w:p>
            <w:pPr>
              <w:autoSpaceDN w:val="0"/>
              <w:autoSpaceDE w:val="0"/>
              <w:widowControl/>
              <w:spacing w:line="304" w:lineRule="exact" w:before="0" w:after="0"/>
              <w:ind w:left="74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service interruption (both physical and mental). </w:t>
            </w:r>
          </w:p>
          <w:p>
            <w:pPr>
              <w:autoSpaceDN w:val="0"/>
              <w:tabs>
                <w:tab w:pos="746" w:val="left"/>
              </w:tabs>
              <w:autoSpaceDE w:val="0"/>
              <w:widowControl/>
              <w:spacing w:line="270" w:lineRule="exact" w:before="0" w:after="0"/>
              <w:ind w:left="18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Backlog of work due to postponement of treatment for less urgent conditions. </w:t>
            </w:r>
          </w:p>
          <w:p>
            <w:pPr>
              <w:autoSpaceDN w:val="0"/>
              <w:tabs>
                <w:tab w:pos="746" w:val="left"/>
              </w:tabs>
              <w:autoSpaceDE w:val="0"/>
              <w:widowControl/>
              <w:spacing w:line="270" w:lineRule="exact" w:before="0" w:after="0"/>
              <w:ind w:left="18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Reduced availability of staff. </w:t>
            </w:r>
          </w:p>
          <w:p>
            <w:pPr>
              <w:autoSpaceDN w:val="0"/>
              <w:tabs>
                <w:tab w:pos="746" w:val="left"/>
              </w:tabs>
              <w:autoSpaceDE w:val="0"/>
              <w:widowControl/>
              <w:spacing w:line="270" w:lineRule="exact" w:before="0" w:after="0"/>
              <w:ind w:left="18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Loss of skill / experience. </w:t>
            </w:r>
          </w:p>
          <w:p>
            <w:pPr>
              <w:autoSpaceDN w:val="0"/>
              <w:tabs>
                <w:tab w:pos="746" w:val="left"/>
              </w:tabs>
              <w:autoSpaceDE w:val="0"/>
              <w:widowControl/>
              <w:spacing w:line="272" w:lineRule="exact" w:before="0" w:after="0"/>
              <w:ind w:left="18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Uncertainty, fear and anxiety. </w:t>
            </w:r>
          </w:p>
          <w:p>
            <w:pPr>
              <w:autoSpaceDN w:val="0"/>
              <w:tabs>
                <w:tab w:pos="746" w:val="left"/>
              </w:tabs>
              <w:autoSpaceDE w:val="0"/>
              <w:widowControl/>
              <w:spacing w:line="270" w:lineRule="exact" w:before="0" w:after="0"/>
              <w:ind w:left="18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Public displacement and disorder in the hospital. </w:t>
            </w:r>
          </w:p>
          <w:p>
            <w:pPr>
              <w:autoSpaceDN w:val="0"/>
              <w:tabs>
                <w:tab w:pos="746" w:val="left"/>
              </w:tabs>
              <w:autoSpaceDE w:val="0"/>
              <w:widowControl/>
              <w:spacing w:line="270" w:lineRule="exact" w:before="0" w:after="0"/>
              <w:ind w:left="18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Breakdown of community support mechanisms. </w:t>
            </w:r>
          </w:p>
          <w:p>
            <w:pPr>
              <w:autoSpaceDN w:val="0"/>
              <w:tabs>
                <w:tab w:pos="746" w:val="left"/>
              </w:tabs>
              <w:autoSpaceDE w:val="0"/>
              <w:widowControl/>
              <w:spacing w:line="272" w:lineRule="exact" w:before="0" w:after="0"/>
              <w:ind w:left="18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Disruption to daily life. </w:t>
            </w:r>
          </w:p>
          <w:p>
            <w:pPr>
              <w:autoSpaceDN w:val="0"/>
              <w:tabs>
                <w:tab w:pos="746" w:val="left"/>
              </w:tabs>
              <w:autoSpaceDE w:val="0"/>
              <w:widowControl/>
              <w:spacing w:line="270" w:lineRule="exact" w:before="0" w:after="0"/>
              <w:ind w:left="18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Disruption to utilities / essential services. </w:t>
            </w:r>
          </w:p>
          <w:p>
            <w:pPr>
              <w:autoSpaceDN w:val="0"/>
              <w:tabs>
                <w:tab w:pos="746" w:val="left"/>
              </w:tabs>
              <w:autoSpaceDE w:val="0"/>
              <w:widowControl/>
              <w:spacing w:line="270" w:lineRule="exact" w:before="0" w:after="0"/>
              <w:ind w:left="18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Disruption to internal / IT services / communication systems. </w:t>
            </w:r>
          </w:p>
          <w:p>
            <w:pPr>
              <w:autoSpaceDN w:val="0"/>
              <w:tabs>
                <w:tab w:pos="746" w:val="left"/>
              </w:tabs>
              <w:autoSpaceDE w:val="0"/>
              <w:widowControl/>
              <w:spacing w:line="272" w:lineRule="exact" w:before="0" w:after="0"/>
              <w:ind w:left="18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Build-up of infected waste. </w:t>
            </w:r>
          </w:p>
          <w:p>
            <w:pPr>
              <w:autoSpaceDN w:val="0"/>
              <w:tabs>
                <w:tab w:pos="746" w:val="left"/>
              </w:tabs>
              <w:autoSpaceDE w:val="0"/>
              <w:widowControl/>
              <w:spacing w:line="270" w:lineRule="exact" w:before="0" w:after="0"/>
              <w:ind w:left="18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Contaminated and or unusable areas. </w:t>
            </w:r>
          </w:p>
          <w:p>
            <w:pPr>
              <w:autoSpaceDN w:val="0"/>
              <w:tabs>
                <w:tab w:pos="746" w:val="left"/>
              </w:tabs>
              <w:autoSpaceDE w:val="0"/>
              <w:widowControl/>
              <w:spacing w:line="270" w:lineRule="exact" w:before="0" w:after="0"/>
              <w:ind w:left="18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Disruption to supplies. </w:t>
            </w:r>
          </w:p>
          <w:p>
            <w:pPr>
              <w:autoSpaceDN w:val="0"/>
              <w:tabs>
                <w:tab w:pos="746" w:val="left"/>
              </w:tabs>
              <w:autoSpaceDE w:val="0"/>
              <w:widowControl/>
              <w:spacing w:line="270" w:lineRule="exact" w:before="0" w:after="0"/>
              <w:ind w:left="18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Management of finances. </w:t>
            </w:r>
          </w:p>
          <w:p>
            <w:pPr>
              <w:autoSpaceDN w:val="0"/>
              <w:tabs>
                <w:tab w:pos="746" w:val="left"/>
              </w:tabs>
              <w:autoSpaceDE w:val="0"/>
              <w:widowControl/>
              <w:spacing w:line="270" w:lineRule="exact" w:before="0" w:after="0"/>
              <w:ind w:left="18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Stopping and starting targets. </w:t>
            </w:r>
          </w:p>
          <w:p>
            <w:pPr>
              <w:autoSpaceDN w:val="0"/>
              <w:tabs>
                <w:tab w:pos="746" w:val="left"/>
              </w:tabs>
              <w:autoSpaceDE w:val="0"/>
              <w:widowControl/>
              <w:spacing w:line="270" w:lineRule="exact" w:before="0" w:after="0"/>
              <w:ind w:left="18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Change in competitive position. </w:t>
            </w:r>
          </w:p>
          <w:p>
            <w:pPr>
              <w:autoSpaceDN w:val="0"/>
              <w:tabs>
                <w:tab w:pos="746" w:val="left"/>
              </w:tabs>
              <w:autoSpaceDE w:val="0"/>
              <w:widowControl/>
              <w:spacing w:line="272" w:lineRule="exact" w:before="0" w:after="0"/>
              <w:ind w:left="18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Reputation damage. </w:t>
            </w:r>
          </w:p>
          <w:p>
            <w:pPr>
              <w:autoSpaceDN w:val="0"/>
              <w:tabs>
                <w:tab w:pos="746" w:val="left"/>
              </w:tabs>
              <w:autoSpaceDE w:val="0"/>
              <w:widowControl/>
              <w:spacing w:line="270" w:lineRule="exact" w:before="0" w:after="0"/>
              <w:ind w:left="18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Organisational fatigue. </w:t>
            </w:r>
          </w:p>
          <w:p>
            <w:pPr>
              <w:autoSpaceDN w:val="0"/>
              <w:autoSpaceDE w:val="0"/>
              <w:widowControl/>
              <w:spacing w:line="304" w:lineRule="exact" w:before="694" w:after="0"/>
              <w:ind w:left="0" w:right="169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Page 20 of 49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418" w:right="1032" w:bottom="214" w:left="708" w:header="720" w:footer="720" w:gutter="0"/>
      <w:cols w:space="720" w:num="1" w:equalWidth="0">
        <w:col w:w="1016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