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450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Appendix B3 – Lessons learned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2"/>
        </w:rPr>
        <w:t>To be completed by the incident management team and forwarded to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 </w:t>
      </w:r>
      <w:r>
        <w:rPr>
          <w:rFonts w:ascii="Arial,Bold" w:hAnsi="Arial,Bold" w:eastAsia="Arial,Bold"/>
          <w:b/>
          <w:i w:val="0"/>
          <w:color w:val="0000FF"/>
          <w:sz w:val="22"/>
          <w:u w:val="single"/>
        </w:rPr>
        <w:hyperlink r:id="rId9" w:history="1">
          <w:r>
            <w:rPr>
              <w:rStyle w:val="Hyperlink"/>
            </w:rPr>
            <w:t xml:space="preserve">Resilience@uhbw.nhs.net </w:t>
          </w:r>
        </w:hyperlink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Incident details (SBAR) including datix reference number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.00000000000006" w:type="dxa"/>
      </w:tblPr>
      <w:tblGrid>
        <w:gridCol w:w="10008"/>
      </w:tblGrid>
      <w:tr>
        <w:trPr>
          <w:trHeight w:hRule="exact" w:val="2654"/>
        </w:trPr>
        <w:tc>
          <w:tcPr>
            <w:tcW w:type="dxa" w:w="974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04" w:lineRule="exact" w:before="332" w:after="5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What went well 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6.00000000000009" w:type="dxa"/>
      </w:tblPr>
      <w:tblGrid>
        <w:gridCol w:w="10008"/>
      </w:tblGrid>
      <w:tr>
        <w:trPr>
          <w:trHeight w:hRule="exact" w:val="2984"/>
        </w:trPr>
        <w:tc>
          <w:tcPr>
            <w:tcW w:type="dxa" w:w="974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04" w:lineRule="exact" w:before="426" w:after="4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Areas for development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6.00000000000009" w:type="dxa"/>
      </w:tblPr>
      <w:tblGrid>
        <w:gridCol w:w="10008"/>
      </w:tblGrid>
      <w:tr>
        <w:trPr>
          <w:trHeight w:hRule="exact" w:val="4334"/>
        </w:trPr>
        <w:tc>
          <w:tcPr>
            <w:tcW w:type="dxa" w:w="9742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04" w:lineRule="exact" w:before="161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Continued over / below </w:t>
      </w:r>
    </w:p>
    <w:sectPr w:rsidR="00FC693F" w:rsidRPr="0006063C" w:rsidSect="00034616">
      <w:pgSz w:w="11906" w:h="16838"/>
      <w:pgMar w:top="546" w:right="1190" w:bottom="496" w:left="708" w:header="720" w:footer="720" w:gutter="0"/>
      <w:cols w:space="720" w:num="1" w:equalWidth="0">
        <w:col w:w="100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Resilience@uhbw.nh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