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260" w:val="left"/>
        </w:tabs>
        <w:autoSpaceDE w:val="0"/>
        <w:widowControl/>
        <w:spacing w:line="314" w:lineRule="exact" w:before="0" w:after="234"/>
        <w:ind w:left="540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3.0 </w:t>
      </w:r>
      <w:r>
        <w:tab/>
      </w:r>
      <w:r>
        <w:rPr>
          <w:rFonts w:ascii="Arial" w:hAnsi="Arial" w:eastAsia="Arial"/>
          <w:b/>
          <w:i w:val="0"/>
          <w:color w:val="000080"/>
          <w:sz w:val="28"/>
        </w:rPr>
        <w:t xml:space="preserve">Stakeholder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62"/>
        <w:gridCol w:w="3062"/>
        <w:gridCol w:w="3062"/>
        <w:gridCol w:w="3062"/>
        <w:gridCol w:w="3062"/>
      </w:tblGrid>
      <w:tr>
        <w:trPr>
          <w:trHeight w:hRule="exact" w:val="366"/>
        </w:trPr>
        <w:tc>
          <w:tcPr>
            <w:tcW w:type="dxa" w:w="536"/>
            <w:vMerge w:val="restart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TAKEHOLDER</w:t>
            </w:r>
          </w:p>
        </w:tc>
        <w:tc>
          <w:tcPr>
            <w:tcW w:type="dxa" w:w="893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TAKEHOLDER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’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E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XPECTATIONS</w:t>
            </w:r>
          </w:p>
        </w:tc>
        <w:tc>
          <w:tcPr>
            <w:tcW w:type="dxa" w:w="1560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44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TAKEHOLDER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P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RIORITY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(H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L) </w:t>
            </w:r>
          </w:p>
        </w:tc>
      </w:tr>
      <w:tr>
        <w:trPr>
          <w:trHeight w:hRule="exact" w:val="412"/>
        </w:trPr>
        <w:tc>
          <w:tcPr>
            <w:tcW w:type="dxa" w:w="3062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306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U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NDER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N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ORMAL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C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IRCUMSTANCES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 xml:space="preserve">URING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ISRUPTION</w:t>
            </w:r>
          </w:p>
        </w:tc>
        <w:tc>
          <w:tcPr>
            <w:tcW w:type="dxa" w:w="306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</w:tcPr>
          <w:p/>
        </w:tc>
      </w:tr>
      <w:tr>
        <w:trPr>
          <w:trHeight w:hRule="exact" w:val="2080"/>
        </w:trPr>
        <w:tc>
          <w:tcPr>
            <w:tcW w:type="dxa" w:w="536"/>
            <w:tcBorders>
              <w:start w:sz="3.1999999999999886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9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25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0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Clinical staff including-  Plaster Technicians,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AHPs, &amp; Clinical Site Managers( CSM’s) </w:t>
            </w:r>
          </w:p>
        </w:tc>
        <w:tc>
          <w:tcPr>
            <w:tcW w:type="dxa" w:w="467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Deliver efficient, good quality, patient centred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assessment and care to all Trauma &amp; Orthopaedic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(T/O) patients attending the outpatient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department.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Have correct pay on time, where appropriate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uniforms/scrubs;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resource to do job &amp; safe working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environment and supervision </w:t>
            </w:r>
          </w:p>
        </w:tc>
        <w:tc>
          <w:tcPr>
            <w:tcW w:type="dxa" w:w="425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Depending on the disruption may need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limit the number of patients seen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therefore patients would have to be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prioritised – clinical staff will have to support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admin staff with the prioritisation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patients. Communicate with CSM re patients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requiring hospital admission.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100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Correct pay on time, safe working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environment </w:t>
            </w:r>
          </w:p>
        </w:tc>
        <w:tc>
          <w:tcPr>
            <w:tcW w:type="dxa" w:w="1560"/>
            <w:tcBorders>
              <w:start w:sz="3.199999999999818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57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Referring clinicians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Timely access to specialist opinion or treatment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meet patient needs outside scope of practice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Timely access to emergency care for patients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with needs outside of scope of practice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  <w:tr>
        <w:trPr>
          <w:trHeight w:hRule="exact" w:val="323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6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9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Administration staff including clinic prep staff,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medical secretaries.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Make appointments for patients, Prep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maintain medical records for patients attending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clinic.  Respond to the T/O inbox and answer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telephone in a courteous manner. Provision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resource &amp; workload and staff to have clear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communication about priorities of the service. </w:t>
            </w:r>
          </w:p>
          <w:p>
            <w:pPr>
              <w:autoSpaceDN w:val="0"/>
              <w:autoSpaceDE w:val="0"/>
              <w:widowControl/>
              <w:spacing w:line="230" w:lineRule="exact" w:before="4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Book patients in accordance with waiting list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requirements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 able to respond to patients who were reviewed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 the virtual fracture clinic and inform them of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need to attend one of the various clinics or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attend for further treatment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Delivery of medical records to and from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department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Depending on the disruption may need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limit the number of patients seen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therefore patients would have to be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prioritised or the clinic could be allocated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another designated area. Provision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workload and clear communication about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priorities of the service.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 able to respond to patients who were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reviewed in the virtual fracture clinic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 them of the need to attend one of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various clinics or to attend for further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treatment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Delivery of medical records to and from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department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6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62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5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5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Patients/ relatives/carers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be seen at the time of their appointment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leave the department with a management plan 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their specific injury. Good communication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regarding injury and written advice where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appropriate.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interpreter if English is not the 1st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language .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Some patients may need to be cancelled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given an alternative appointment , re-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 emergency service  to manage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with urgent needs.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Give assurance to patients/ carers.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interpreter if English is not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1st language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908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1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4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Management staff within the division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Surgery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 services delivered in the department to run to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specific time frame and achieve Key performance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Indicators (KPI’s) related to that service. Ensure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contracts are met and patient / staff safety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Clear information on the impact of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disruption – opportunities to re-provide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risks and benefits described. Support admin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staff with the prioritisation of patients and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1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546" w:right="790" w:bottom="520" w:left="740" w:header="720" w:footer="720" w:gutter="0"/>
      <w:cols w:space="720" w:num="1" w:equalWidth="0">
        <w:col w:w="153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