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12" w:line="240" w:lineRule="auto"/>
        <w:ind w:left="0" w:firstLine="0"/>
      </w:pPr>
      <w:r>
        <w:rPr>
          <w:rFonts w:ascii="Inter" w:hAnsi="Inter" w:eastAsia="Inter" w:cs="Inter"/>
          <w:b/>
          <w:color w:val="1D1D20"/>
          <w:sz w:val="45"/>
        </w:rPr>
        <w:t>ALPHONSE KANAPI, CSSYB</w:t>
      </w:r>
    </w:p>
    <w:p>
      <w:pPr>
        <w:keepNext/>
        <w:keepLines/>
        <w:widowControl/>
        <w:spacing w:before="0" w:after="30" w:line="240" w:lineRule="auto"/>
        <w:ind w:left="0" w:firstLine="0"/>
      </w:pPr>
      <w:r>
        <w:rPr>
          <w:rFonts w:ascii="Inter" w:hAnsi="Inter" w:eastAsia="Inter" w:cs="Inter"/>
          <w:b/>
          <w:color w:val="E85214"/>
          <w:sz w:val="20"/>
        </w:rPr>
        <w:t>Learning Experience Lead  |  Business Solution Architect  |  HR Technology &amp; People Operations</w:t>
      </w:r>
    </w:p>
    <w:p>
      <w:pPr>
        <w:keepNext w:val="0"/>
        <w:keepLines/>
        <w:widowControl/>
        <w:spacing w:before="0" w:after="120" w:line="240" w:lineRule="auto"/>
        <w:ind w:left="0" w:firstLine="0"/>
        <w:pBdr>
          <w:bottom w:val="single" w:sz="6" w:space="4" w:color="BDBDC2"/>
        </w:pBdr>
      </w:pPr>
      <w:r>
        <w:rPr>
          <w:rFonts w:ascii="Inter" w:hAnsi="Inter" w:eastAsia="Inter" w:cs="Inter"/>
          <w:b w:val="0"/>
          <w:color w:val="57575D"/>
          <w:sz w:val="16"/>
        </w:rPr>
        <w:t>Metro Manila, Philippines  |  alphonsekanapi@gmail.com  |  linkedin.com/in/alphonse-kanapi-</w:t>
      </w:r>
    </w:p>
    <w:p>
      <w:pPr>
        <w:keepNext/>
        <w:keepLines/>
        <w:widowControl/>
        <w:spacing w:before="142" w:after="60" w:line="240" w:lineRule="auto"/>
        <w:ind w:left="0" w:firstLine="0"/>
        <w:pBdr>
          <w:bottom w:val="single" w:sz="4" w:space="2" w:color="D8D8DD"/>
        </w:pBdr>
      </w:pPr>
      <w:r>
        <w:rPr>
          <w:rFonts w:ascii="Inter" w:hAnsi="Inter" w:eastAsia="Inter" w:cs="Inter"/>
          <w:b/>
          <w:color w:val="E85214"/>
          <w:sz w:val="19"/>
        </w:rPr>
        <w:t>PROFESSIONAL SUMMARY</w:t>
      </w:r>
    </w:p>
    <w:p>
      <w:pPr>
        <w:keepNext w:val="0"/>
        <w:keepLines/>
        <w:widowControl/>
        <w:spacing w:before="0" w:after="68" w:line="264" w:lineRule="auto"/>
        <w:ind w:left="0" w:firstLine="0"/>
      </w:pPr>
      <w:r>
        <w:rPr>
          <w:rFonts w:ascii="Inter" w:hAnsi="Inter" w:eastAsia="Inter" w:cs="Inter"/>
          <w:b w:val="0"/>
          <w:color w:val="323237"/>
          <w:sz w:val="18"/>
        </w:rPr>
        <w:t>Learning Experience and HR Technology professional with experience building scalable learning ecosystems, people systems, and global HR operations across the United States, Canada, Mexico, Nicaragua, South Africa, and the Philippines. Expertise spans learning strategy, LMS and LXP administration, HRIS, compensation technology, data governance, onboarding, and process improvement. Certified Six Sigma Yellow Belt and Payscale product professional known for translating business needs into practical, measurable, learner centered solutions.</w:t>
      </w:r>
    </w:p>
    <w:p>
      <w:pPr>
        <w:keepNext/>
        <w:keepLines/>
        <w:widowControl/>
        <w:spacing w:before="142" w:after="60" w:line="240" w:lineRule="auto"/>
        <w:ind w:left="0" w:firstLine="0"/>
        <w:pBdr>
          <w:bottom w:val="single" w:sz="4" w:space="2" w:color="D8D8DD"/>
        </w:pBdr>
      </w:pPr>
      <w:r>
        <w:rPr>
          <w:rFonts w:ascii="Inter" w:hAnsi="Inter" w:eastAsia="Inter" w:cs="Inter"/>
          <w:b/>
          <w:color w:val="E85214"/>
          <w:sz w:val="19"/>
        </w:rPr>
        <w:t>CORE COMPETENCIES</w:t>
      </w:r>
    </w:p>
    <w:p>
      <w:pPr>
        <w:keepNext w:val="0"/>
        <w:keepLines/>
        <w:widowControl/>
        <w:spacing w:before="0" w:after="70" w:line="264" w:lineRule="auto"/>
        <w:ind w:left="0" w:firstLine="0"/>
      </w:pPr>
      <w:r>
        <w:rPr>
          <w:rFonts w:ascii="Inter" w:hAnsi="Inter" w:eastAsia="Inter" w:cs="Inter"/>
          <w:b w:val="0"/>
          <w:color w:val="323237"/>
          <w:sz w:val="17"/>
        </w:rPr>
        <w:t>Learning Strategy  |  Learning Experience Design  |  LMS/LXP Management  |  HR Technology  |  HRIS Administration  |  Data Governance  |  Process Improvement  |  Global People Operations  |  Employee Experience  |  Leadership Development  |  Compensation Technology  |  Onboarding  |  Stakeholder Management  |  Process Mapping</w:t>
      </w:r>
    </w:p>
    <w:p>
      <w:pPr>
        <w:keepNext/>
        <w:keepLines/>
        <w:widowControl/>
        <w:spacing w:before="142" w:after="60" w:line="240" w:lineRule="auto"/>
        <w:ind w:left="0" w:firstLine="0"/>
        <w:pBdr>
          <w:bottom w:val="single" w:sz="4" w:space="2" w:color="D8D8DD"/>
        </w:pBdr>
      </w:pPr>
      <w:r>
        <w:rPr>
          <w:rFonts w:ascii="Inter" w:hAnsi="Inter" w:eastAsia="Inter" w:cs="Inter"/>
          <w:b/>
          <w:color w:val="E85214"/>
          <w:sz w:val="19"/>
        </w:rPr>
        <w:t>PROFESSIONAL EXPERIENCE</w:t>
      </w:r>
    </w:p>
    <w:p>
      <w:pPr>
        <w:keepNext/>
        <w:keepLines/>
        <w:widowControl/>
        <w:tabs>
          <w:tab w:pos="10080" w:val="right"/>
        </w:tabs>
        <w:spacing w:before="152" w:after="44" w:line="240" w:lineRule="auto"/>
        <w:ind w:left="0" w:firstLine="0"/>
        <w:pBdr>
          <w:bottom w:val="single" w:sz="3" w:space="3" w:color="E8E8EC"/>
        </w:pBdr>
      </w:pPr>
      <w:r>
        <w:rPr>
          <w:rFonts w:ascii="Inter" w:hAnsi="Inter" w:eastAsia="Inter" w:cs="Inter"/>
          <w:b/>
          <w:color w:val="E85214"/>
          <w:sz w:val="21"/>
        </w:rPr>
        <w:t>LINKUP</w:t>
      </w:r>
      <w:r>
        <w:rPr>
          <w:rFonts w:ascii="Inter" w:hAnsi="Inter" w:eastAsia="Inter" w:cs="Inter"/>
          <w:b/>
          <w:color w:val="57575D"/>
          <w:sz w:val="17"/>
        </w:rPr>
        <w:tab/>
        <w:t>Dec 2025 to Present</w:t>
      </w:r>
    </w:p>
    <w:p>
      <w:pPr>
        <w:keepNext/>
        <w:keepLines/>
        <w:widowControl/>
        <w:spacing w:before="42" w:after="30" w:line="240" w:lineRule="auto"/>
        <w:ind w:left="0" w:firstLine="0"/>
      </w:pPr>
      <w:r>
        <w:rPr>
          <w:rFonts w:ascii="Inter" w:hAnsi="Inter" w:eastAsia="Inter" w:cs="Inter"/>
          <w:b/>
          <w:color w:val="1D1D20"/>
          <w:sz w:val="20"/>
        </w:rPr>
        <w:t>Business Solution Architect</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Built and improved core people operations processes</w:t>
      </w:r>
      <w:r>
        <w:rPr>
          <w:rFonts w:ascii="Inter" w:hAnsi="Inter" w:eastAsia="Inter" w:cs="Inter"/>
          <w:b w:val="0"/>
          <w:color w:val="323237"/>
          <w:sz w:val="18"/>
        </w:rPr>
        <w:t xml:space="preserve"> spanning contract administration, recruitment, employee records, ID creation, and payroll tracking.</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Designed and launched three internal platforms</w:t>
      </w:r>
      <w:r>
        <w:rPr>
          <w:rFonts w:ascii="Inter" w:hAnsi="Inter" w:eastAsia="Inter" w:cs="Inter"/>
          <w:b w:val="0"/>
          <w:color w:val="323237"/>
          <w:sz w:val="18"/>
        </w:rPr>
        <w:t xml:space="preserve"> and established a centralized HR database to support scalable operations and company growth.</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Led the Aspiring Leaders development program</w:t>
      </w:r>
      <w:r>
        <w:rPr>
          <w:rFonts w:ascii="Inter" w:hAnsi="Inter" w:eastAsia="Inter" w:cs="Inter"/>
          <w:b w:val="0"/>
          <w:color w:val="323237"/>
          <w:sz w:val="18"/>
        </w:rPr>
        <w:t xml:space="preserve">, achieving </w:t>
      </w:r>
      <w:r>
        <w:rPr>
          <w:rFonts w:ascii="Inter" w:hAnsi="Inter" w:eastAsia="Inter" w:cs="Inter"/>
          <w:b/>
          <w:color w:val="323237"/>
          <w:sz w:val="18"/>
        </w:rPr>
        <w:t>100% participant completion</w:t>
      </w:r>
      <w:r>
        <w:rPr>
          <w:rFonts w:ascii="Inter" w:hAnsi="Inter" w:eastAsia="Inter" w:cs="Inter"/>
          <w:b w:val="0"/>
          <w:color w:val="323237"/>
          <w:sz w:val="18"/>
        </w:rPr>
        <w:t xml:space="preserve"> across a two month learning journey.</w:t>
      </w:r>
    </w:p>
    <w:p>
      <w:pPr>
        <w:keepNext w:val="0"/>
        <w:keepLines/>
        <w:widowControl/>
        <w:spacing w:before="0" w:after="19"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Support contract review and operational requirements</w:t>
      </w:r>
      <w:r>
        <w:rPr>
          <w:rFonts w:ascii="Inter" w:hAnsi="Inter" w:eastAsia="Inter" w:cs="Inter"/>
          <w:b w:val="0"/>
          <w:color w:val="323237"/>
          <w:sz w:val="18"/>
        </w:rPr>
        <w:t xml:space="preserve"> associated with business expansion and workforce growth.</w:t>
      </w:r>
    </w:p>
    <w:p>
      <w:pPr>
        <w:keepNext/>
        <w:keepLines/>
        <w:widowControl/>
        <w:tabs>
          <w:tab w:pos="10080" w:val="right"/>
        </w:tabs>
        <w:spacing w:before="152" w:after="44" w:line="240" w:lineRule="auto"/>
        <w:ind w:left="0" w:firstLine="0"/>
        <w:pBdr>
          <w:bottom w:val="single" w:sz="3" w:space="3" w:color="E8E8EC"/>
        </w:pBdr>
      </w:pPr>
      <w:r>
        <w:rPr>
          <w:rFonts w:ascii="Inter" w:hAnsi="Inter" w:eastAsia="Inter" w:cs="Inter"/>
          <w:b/>
          <w:color w:val="E85214"/>
          <w:sz w:val="21"/>
        </w:rPr>
        <w:t>BOLDR IMPACT</w:t>
      </w:r>
      <w:r>
        <w:rPr>
          <w:rFonts w:ascii="Inter" w:hAnsi="Inter" w:eastAsia="Inter" w:cs="Inter"/>
          <w:b/>
          <w:color w:val="74747A"/>
          <w:sz w:val="16"/>
        </w:rPr>
        <w:t xml:space="preserve">  |  Career Progression</w:t>
      </w:r>
      <w:r>
        <w:rPr>
          <w:rFonts w:ascii="Inter" w:hAnsi="Inter" w:eastAsia="Inter" w:cs="Inter"/>
          <w:b/>
          <w:color w:val="57575D"/>
          <w:sz w:val="17"/>
        </w:rPr>
        <w:tab/>
        <w:t>Feb 2021 to Present</w:t>
      </w:r>
    </w:p>
    <w:p>
      <w:pPr>
        <w:keepNext/>
        <w:keepLines/>
        <w:widowControl/>
        <w:tabs>
          <w:tab w:pos="10080" w:val="right"/>
        </w:tabs>
        <w:spacing w:before="42" w:after="30" w:line="240" w:lineRule="auto"/>
        <w:ind w:left="0" w:firstLine="0"/>
      </w:pPr>
      <w:r>
        <w:rPr>
          <w:rFonts w:ascii="Inter" w:hAnsi="Inter" w:eastAsia="Inter" w:cs="Inter"/>
          <w:b/>
          <w:color w:val="1D1D20"/>
          <w:sz w:val="20"/>
        </w:rPr>
        <w:t>Learning Experience Lead</w:t>
      </w:r>
      <w:r>
        <w:rPr>
          <w:rFonts w:ascii="Inter" w:hAnsi="Inter" w:eastAsia="Inter" w:cs="Inter"/>
          <w:b/>
          <w:color w:val="E85214"/>
          <w:sz w:val="14"/>
        </w:rPr>
        <w:t xml:space="preserve">  CURRENT</w:t>
      </w:r>
      <w:r>
        <w:rPr>
          <w:rFonts w:ascii="Inter" w:hAnsi="Inter" w:eastAsia="Inter" w:cs="Inter"/>
          <w:b w:val="0"/>
          <w:color w:val="74747A"/>
          <w:sz w:val="16"/>
        </w:rPr>
        <w:tab/>
        <w:t>Mar 2026 to Present</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Lead learning technology and capability development</w:t>
      </w:r>
      <w:r>
        <w:rPr>
          <w:rFonts w:ascii="Inter" w:hAnsi="Inter" w:eastAsia="Inter" w:cs="Inter"/>
          <w:b w:val="0"/>
          <w:color w:val="323237"/>
          <w:sz w:val="18"/>
        </w:rPr>
        <w:t xml:space="preserve"> initiatives supporting distributed global teams.</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Manage learning platforms and vendor relationships</w:t>
      </w:r>
      <w:r>
        <w:rPr>
          <w:rFonts w:ascii="Inter" w:hAnsi="Inter" w:eastAsia="Inter" w:cs="Inter"/>
          <w:b w:val="0"/>
          <w:color w:val="323237"/>
          <w:sz w:val="18"/>
        </w:rPr>
        <w:t xml:space="preserve"> across DataCamp, Juno Journey, Infosys Springboard, Articulate, 360Learning, and internal learning systems.</w:t>
      </w:r>
    </w:p>
    <w:p>
      <w:pPr>
        <w:keepNext w:val="0"/>
        <w:keepLines/>
        <w:widowControl/>
        <w:spacing w:before="0" w:after="19"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Created a digital People Success service hub</w:t>
      </w:r>
      <w:r>
        <w:rPr>
          <w:rFonts w:ascii="Inter" w:hAnsi="Inter" w:eastAsia="Inter" w:cs="Inter"/>
          <w:b w:val="0"/>
          <w:color w:val="323237"/>
          <w:sz w:val="18"/>
        </w:rPr>
        <w:t xml:space="preserve"> that centralized access to department services and resources, improving service visibility and accessibility.</w:t>
      </w:r>
    </w:p>
    <w:p>
      <w:pPr>
        <w:keepNext/>
        <w:keepLines/>
        <w:widowControl/>
        <w:tabs>
          <w:tab w:pos="10080" w:val="right"/>
        </w:tabs>
        <w:spacing w:before="98" w:after="30" w:line="240" w:lineRule="auto"/>
        <w:ind w:left="0" w:firstLine="0"/>
        <w:pBdr>
          <w:top w:val="single" w:sz="3" w:space="3" w:color="E8E8EC"/>
        </w:pBdr>
      </w:pPr>
      <w:r>
        <w:rPr>
          <w:rFonts w:ascii="Inter" w:hAnsi="Inter" w:eastAsia="Inter" w:cs="Inter"/>
          <w:b/>
          <w:color w:val="1D1D20"/>
          <w:sz w:val="20"/>
        </w:rPr>
        <w:t>Senior HRIS Specialist</w:t>
      </w:r>
      <w:r>
        <w:rPr>
          <w:rFonts w:ascii="Inter" w:hAnsi="Inter" w:eastAsia="Inter" w:cs="Inter"/>
          <w:b w:val="0"/>
          <w:color w:val="74747A"/>
          <w:sz w:val="16"/>
        </w:rPr>
        <w:tab/>
        <w:t>Mar 2024 to Mar 2026</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Led global compensation and HR technology initiatives</w:t>
      </w:r>
      <w:r>
        <w:rPr>
          <w:rFonts w:ascii="Inter" w:hAnsi="Inter" w:eastAsia="Inter" w:cs="Inter"/>
          <w:b w:val="0"/>
          <w:color w:val="323237"/>
          <w:sz w:val="18"/>
        </w:rPr>
        <w:t xml:space="preserve"> across BambooHR, Payscale, Payfactors, and internal systems.</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Spearheaded job standardization and primary key curation</w:t>
      </w:r>
      <w:r>
        <w:rPr>
          <w:rFonts w:ascii="Inter" w:hAnsi="Inter" w:eastAsia="Inter" w:cs="Inter"/>
          <w:b w:val="0"/>
          <w:color w:val="323237"/>
          <w:sz w:val="18"/>
        </w:rPr>
        <w:t xml:space="preserve"> to improve HR data consistency, accuracy, and governance.</w:t>
      </w:r>
    </w:p>
    <w:p>
      <w:pPr>
        <w:keepNext w:val="0"/>
        <w:keepLines/>
        <w:widowControl/>
        <w:spacing w:before="0" w:after="19"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Improved HR reporting and system reliability</w:t>
      </w:r>
      <w:r>
        <w:rPr>
          <w:rFonts w:ascii="Inter" w:hAnsi="Inter" w:eastAsia="Inter" w:cs="Inter"/>
          <w:b w:val="0"/>
          <w:color w:val="323237"/>
          <w:sz w:val="18"/>
        </w:rPr>
        <w:t xml:space="preserve"> through stronger data architecture and standardized workflows.</w:t>
      </w:r>
    </w:p>
    <w:p>
      <w:pPr>
        <w:keepNext/>
        <w:keepLines/>
        <w:widowControl/>
        <w:tabs>
          <w:tab w:pos="10080" w:val="right"/>
        </w:tabs>
        <w:spacing w:before="98" w:after="30" w:line="240" w:lineRule="auto"/>
        <w:ind w:left="0" w:firstLine="0"/>
        <w:pBdr>
          <w:top w:val="single" w:sz="3" w:space="3" w:color="E8E8EC"/>
        </w:pBdr>
      </w:pPr>
      <w:r>
        <w:rPr>
          <w:rFonts w:ascii="Inter" w:hAnsi="Inter" w:eastAsia="Inter" w:cs="Inter"/>
          <w:b/>
          <w:color w:val="1D1D20"/>
          <w:sz w:val="20"/>
        </w:rPr>
        <w:t>Global Onboarding Success Specialist</w:t>
      </w:r>
      <w:r>
        <w:rPr>
          <w:rFonts w:ascii="Inter" w:hAnsi="Inter" w:eastAsia="Inter" w:cs="Inter"/>
          <w:b w:val="0"/>
          <w:color w:val="74747A"/>
          <w:sz w:val="16"/>
        </w:rPr>
        <w:tab/>
        <w:t>Oct 2021 to Apr 2024</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Designed and maintained global onboarding and employee lifecycle processes</w:t>
      </w:r>
      <w:r>
        <w:rPr>
          <w:rFonts w:ascii="Inter" w:hAnsi="Inter" w:eastAsia="Inter" w:cs="Inter"/>
          <w:b w:val="0"/>
          <w:color w:val="323237"/>
          <w:sz w:val="18"/>
        </w:rPr>
        <w:t xml:space="preserve"> across multiple offices and distributed teams.</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Developed onboarding programs, policies, and workflows</w:t>
      </w:r>
      <w:r>
        <w:rPr>
          <w:rFonts w:ascii="Inter" w:hAnsi="Inter" w:eastAsia="Inter" w:cs="Inter"/>
          <w:b w:val="0"/>
          <w:color w:val="323237"/>
          <w:sz w:val="18"/>
        </w:rPr>
        <w:t xml:space="preserve"> to create more consistent employee experiences across locations.</w:t>
      </w:r>
    </w:p>
    <w:p>
      <w:pPr>
        <w:keepNext w:val="0"/>
        <w:keepLines/>
        <w:widowControl/>
        <w:spacing w:before="0" w:after="19"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Diagnosed and resolved operational and technical issues</w:t>
      </w:r>
      <w:r>
        <w:rPr>
          <w:rFonts w:ascii="Inter" w:hAnsi="Inter" w:eastAsia="Inter" w:cs="Inter"/>
          <w:b w:val="0"/>
          <w:color w:val="323237"/>
          <w:sz w:val="18"/>
        </w:rPr>
        <w:t xml:space="preserve"> affecting onboarding and lifecycle administration, including workaround development and escalation.</w:t>
      </w:r>
    </w:p>
    <w:p>
      <w:pPr>
        <w:keepNext/>
        <w:keepLines/>
        <w:widowControl/>
        <w:tabs>
          <w:tab w:pos="10080" w:val="right"/>
        </w:tabs>
        <w:spacing w:before="98" w:after="30" w:line="240" w:lineRule="auto"/>
        <w:ind w:left="0" w:firstLine="0"/>
        <w:pBdr>
          <w:top w:val="single" w:sz="3" w:space="3" w:color="E8E8EC"/>
        </w:pBdr>
      </w:pPr>
      <w:r>
        <w:rPr>
          <w:rFonts w:ascii="Inter" w:hAnsi="Inter" w:eastAsia="Inter" w:cs="Inter"/>
          <w:b/>
          <w:color w:val="1D1D20"/>
          <w:sz w:val="20"/>
        </w:rPr>
        <w:t>Human Resource Onboarding Associate</w:t>
      </w:r>
      <w:r>
        <w:rPr>
          <w:rFonts w:ascii="Inter" w:hAnsi="Inter" w:eastAsia="Inter" w:cs="Inter"/>
          <w:b w:val="0"/>
          <w:color w:val="74747A"/>
          <w:sz w:val="16"/>
        </w:rPr>
        <w:tab/>
        <w:t>Feb 2021 to Oct 2021</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Coordinated virtual onboarding</w:t>
      </w:r>
      <w:r>
        <w:rPr>
          <w:rFonts w:ascii="Inter" w:hAnsi="Inter" w:eastAsia="Inter" w:cs="Inter"/>
          <w:b w:val="0"/>
          <w:color w:val="323237"/>
          <w:sz w:val="18"/>
        </w:rPr>
        <w:t xml:space="preserve"> with internal stakeholders to ensure new hires completed orientation, documentation, and required onboarding activities.</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Managed KPI, evaluation, and regularization workflows</w:t>
      </w:r>
      <w:r>
        <w:rPr>
          <w:rFonts w:ascii="Inter" w:hAnsi="Inter" w:eastAsia="Inter" w:cs="Inter"/>
          <w:b w:val="0"/>
          <w:color w:val="323237"/>
          <w:sz w:val="18"/>
        </w:rPr>
        <w:t xml:space="preserve"> to strengthen new hire alignment, documentation quality, and employee lifecycle tracking.</w:t>
      </w:r>
    </w:p>
    <w:p>
      <w:pPr>
        <w:keepNext w:val="0"/>
        <w:keepLines/>
        <w:widowControl/>
        <w:spacing w:before="0" w:after="19"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Coordinated employee, HR, and Finance handoffs</w:t>
      </w:r>
      <w:r>
        <w:rPr>
          <w:rFonts w:ascii="Inter" w:hAnsi="Inter" w:eastAsia="Inter" w:cs="Inter"/>
          <w:b w:val="0"/>
          <w:color w:val="323237"/>
          <w:sz w:val="18"/>
        </w:rPr>
        <w:t xml:space="preserve"> to keep regularization notices and records accurate and timely.</w:t>
      </w:r>
    </w:p>
    <w:p>
      <w:pPr>
        <w:keepNext/>
        <w:keepLines/>
        <w:widowControl/>
        <w:tabs>
          <w:tab w:pos="10080" w:val="right"/>
        </w:tabs>
        <w:spacing w:before="98" w:after="30" w:line="240" w:lineRule="auto"/>
        <w:ind w:left="0" w:firstLine="0"/>
        <w:pBdr>
          <w:top w:val="single" w:sz="3" w:space="3" w:color="E8E8EC"/>
        </w:pBdr>
      </w:pPr>
      <w:r>
        <w:rPr>
          <w:rFonts w:ascii="Inter" w:hAnsi="Inter" w:eastAsia="Inter" w:cs="Inter"/>
          <w:b/>
          <w:color w:val="1D1D20"/>
          <w:sz w:val="20"/>
        </w:rPr>
        <w:t>Human Resource Associate</w:t>
      </w:r>
      <w:r>
        <w:rPr>
          <w:rFonts w:ascii="Inter" w:hAnsi="Inter" w:eastAsia="Inter" w:cs="Inter"/>
          <w:b w:val="0"/>
          <w:color w:val="74747A"/>
          <w:sz w:val="16"/>
        </w:rPr>
        <w:tab/>
        <w:t>Feb 2021 to Apr 2021</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Maintained employee databases and new hire records</w:t>
      </w:r>
      <w:r>
        <w:rPr>
          <w:rFonts w:ascii="Inter" w:hAnsi="Inter" w:eastAsia="Inter" w:cs="Inter"/>
          <w:b w:val="0"/>
          <w:color w:val="323237"/>
          <w:sz w:val="18"/>
        </w:rPr>
        <w:t xml:space="preserve"> to support accurate HR administration.</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Prepared and distributed new hire documentation</w:t>
      </w:r>
      <w:r>
        <w:rPr>
          <w:rFonts w:ascii="Inter" w:hAnsi="Inter" w:eastAsia="Inter" w:cs="Inter"/>
          <w:b w:val="0"/>
          <w:color w:val="323237"/>
          <w:sz w:val="18"/>
        </w:rPr>
        <w:t xml:space="preserve"> following job offer acceptance.</w:t>
      </w:r>
    </w:p>
    <w:p>
      <w:pPr>
        <w:keepNext w:val="0"/>
        <w:keepLines/>
        <w:widowControl/>
        <w:spacing w:before="0" w:after="19"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Coordinated cross functional onboarding reviews</w:t>
      </w:r>
      <w:r>
        <w:rPr>
          <w:rFonts w:ascii="Inter" w:hAnsi="Inter" w:eastAsia="Inter" w:cs="Inter"/>
          <w:b w:val="0"/>
          <w:color w:val="323237"/>
          <w:sz w:val="18"/>
        </w:rPr>
        <w:t xml:space="preserve"> using survey results to identify opportunities to improve the new hire experience.</w:t>
      </w:r>
    </w:p>
    <w:p>
      <w:pPr>
        <w:keepNext/>
        <w:keepLines/>
        <w:widowControl/>
        <w:tabs>
          <w:tab w:pos="10080" w:val="right"/>
        </w:tabs>
        <w:spacing w:before="152" w:after="44" w:line="240" w:lineRule="auto"/>
        <w:ind w:left="0" w:firstLine="0"/>
        <w:pBdr>
          <w:bottom w:val="single" w:sz="3" w:space="3" w:color="E8E8EC"/>
        </w:pBdr>
      </w:pPr>
      <w:r>
        <w:rPr>
          <w:rFonts w:ascii="Inter" w:hAnsi="Inter" w:eastAsia="Inter" w:cs="Inter"/>
          <w:b/>
          <w:color w:val="E85214"/>
          <w:sz w:val="21"/>
        </w:rPr>
        <w:t>MERRYMART</w:t>
      </w:r>
      <w:r>
        <w:rPr>
          <w:rFonts w:ascii="Inter" w:hAnsi="Inter" w:eastAsia="Inter" w:cs="Inter"/>
          <w:b/>
          <w:color w:val="57575D"/>
          <w:sz w:val="17"/>
        </w:rPr>
        <w:tab/>
        <w:t>Feb 2020 to Aug 2020</w:t>
      </w:r>
    </w:p>
    <w:p>
      <w:pPr>
        <w:keepNext/>
        <w:keepLines/>
        <w:widowControl/>
        <w:spacing w:before="42" w:after="30" w:line="240" w:lineRule="auto"/>
        <w:ind w:left="0" w:firstLine="0"/>
      </w:pPr>
      <w:r>
        <w:rPr>
          <w:rFonts w:ascii="Inter" w:hAnsi="Inter" w:eastAsia="Inter" w:cs="Inter"/>
          <w:b/>
          <w:color w:val="1D1D20"/>
          <w:sz w:val="20"/>
        </w:rPr>
        <w:t>Human Resources Assistant</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Managed end to end recruitment</w:t>
      </w:r>
      <w:r>
        <w:rPr>
          <w:rFonts w:ascii="Inter" w:hAnsi="Inter" w:eastAsia="Inter" w:cs="Inter"/>
          <w:b w:val="0"/>
          <w:color w:val="323237"/>
          <w:sz w:val="18"/>
        </w:rPr>
        <w:t xml:space="preserve"> for Head Office, Distribution Center, and retail operations.</w:t>
      </w:r>
    </w:p>
    <w:p>
      <w:pPr>
        <w:keepNext w:val="0"/>
        <w:keepLines/>
        <w:widowControl/>
        <w:spacing w:before="0" w:after="13"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Supported employees from recruitment through regularization</w:t>
      </w:r>
      <w:r>
        <w:rPr>
          <w:rFonts w:ascii="Inter" w:hAnsi="Inter" w:eastAsia="Inter" w:cs="Inter"/>
          <w:b w:val="0"/>
          <w:color w:val="323237"/>
          <w:sz w:val="18"/>
        </w:rPr>
        <w:t xml:space="preserve"> across core employee lifecycle activities.</w:t>
      </w:r>
    </w:p>
    <w:p>
      <w:pPr>
        <w:keepNext w:val="0"/>
        <w:keepLines/>
        <w:widowControl/>
        <w:spacing w:before="0" w:after="19" w:line="258" w:lineRule="auto"/>
        <w:ind w:left="259" w:hanging="187"/>
      </w:pPr>
      <w:r>
        <w:rPr>
          <w:rFonts w:ascii="Inter" w:hAnsi="Inter" w:eastAsia="Inter" w:cs="Inter"/>
          <w:b/>
          <w:color w:val="E85214"/>
          <w:sz w:val="18"/>
        </w:rPr>
        <w:t xml:space="preserve">•  </w:t>
      </w:r>
      <w:r>
        <w:rPr>
          <w:rFonts w:ascii="Inter" w:hAnsi="Inter" w:eastAsia="Inter" w:cs="Inter"/>
          <w:b/>
          <w:color w:val="323237"/>
          <w:sz w:val="18"/>
        </w:rPr>
        <w:t>Facilitated onsite recruitment and interviews</w:t>
      </w:r>
      <w:r>
        <w:rPr>
          <w:rFonts w:ascii="Inter" w:hAnsi="Inter" w:eastAsia="Inter" w:cs="Inter"/>
          <w:b w:val="0"/>
          <w:color w:val="323237"/>
          <w:sz w:val="18"/>
        </w:rPr>
        <w:t xml:space="preserve"> across Visayas and Mindanao while coordinating candidate sourcing and hiring workflows.</w:t>
      </w:r>
    </w:p>
    <w:p>
      <w:pPr>
        <w:keepNext/>
        <w:keepLines/>
        <w:widowControl/>
        <w:spacing w:before="142" w:after="60" w:line="240" w:lineRule="auto"/>
        <w:ind w:left="0" w:firstLine="0"/>
        <w:pBdr>
          <w:bottom w:val="single" w:sz="4" w:space="2" w:color="D8D8DD"/>
        </w:pBdr>
      </w:pPr>
      <w:r>
        <w:rPr>
          <w:rFonts w:ascii="Inter" w:hAnsi="Inter" w:eastAsia="Inter" w:cs="Inter"/>
          <w:b/>
          <w:color w:val="E85214"/>
          <w:sz w:val="19"/>
        </w:rPr>
        <w:t>TECHNOLOGY &amp; PLATFORMS</w:t>
      </w:r>
    </w:p>
    <w:p>
      <w:pPr>
        <w:keepNext w:val="0"/>
        <w:keepLines/>
        <w:widowControl/>
        <w:spacing w:before="0" w:after="20" w:line="257" w:lineRule="auto"/>
        <w:ind w:left="0" w:firstLine="0"/>
      </w:pPr>
      <w:r>
        <w:rPr>
          <w:rFonts w:ascii="Inter" w:hAnsi="Inter" w:eastAsia="Inter" w:cs="Inter"/>
          <w:b/>
          <w:color w:val="1D1D20"/>
          <w:sz w:val="17"/>
        </w:rPr>
        <w:t xml:space="preserve">Learning Technology: </w:t>
      </w:r>
      <w:r>
        <w:rPr>
          <w:rFonts w:ascii="Inter" w:hAnsi="Inter" w:eastAsia="Inter" w:cs="Inter"/>
          <w:b w:val="0"/>
          <w:color w:val="323237"/>
          <w:sz w:val="17"/>
        </w:rPr>
        <w:t>DataCamp | Juno Journey | Articulate 360 / Rise 360 | Infosys Springboard | 360Learning | Synthesia | WellSaid Labs | Canva</w:t>
      </w:r>
    </w:p>
    <w:p>
      <w:pPr>
        <w:keepNext w:val="0"/>
        <w:keepLines/>
        <w:widowControl/>
        <w:spacing w:before="0" w:after="20" w:line="257" w:lineRule="auto"/>
        <w:ind w:left="0" w:firstLine="0"/>
      </w:pPr>
      <w:r>
        <w:rPr>
          <w:rFonts w:ascii="Inter" w:hAnsi="Inter" w:eastAsia="Inter" w:cs="Inter"/>
          <w:b/>
          <w:color w:val="1D1D20"/>
          <w:sz w:val="17"/>
        </w:rPr>
        <w:t xml:space="preserve">HR Technology: </w:t>
      </w:r>
      <w:r>
        <w:rPr>
          <w:rFonts w:ascii="Inter" w:hAnsi="Inter" w:eastAsia="Inter" w:cs="Inter"/>
          <w:b w:val="0"/>
          <w:color w:val="323237"/>
          <w:sz w:val="17"/>
        </w:rPr>
        <w:t>BambooHR | Payscale | Payfactors | Sprout Solutions | Rippling</w:t>
      </w:r>
    </w:p>
    <w:p>
      <w:pPr>
        <w:keepNext w:val="0"/>
        <w:keepLines/>
        <w:widowControl/>
        <w:spacing w:before="0" w:after="20" w:line="257" w:lineRule="auto"/>
        <w:ind w:left="0" w:firstLine="0"/>
      </w:pPr>
      <w:r>
        <w:rPr>
          <w:rFonts w:ascii="Inter" w:hAnsi="Inter" w:eastAsia="Inter" w:cs="Inter"/>
          <w:b/>
          <w:color w:val="1D1D20"/>
          <w:sz w:val="17"/>
        </w:rPr>
        <w:t xml:space="preserve">Talent &amp; Productivity: </w:t>
      </w:r>
      <w:r>
        <w:rPr>
          <w:rFonts w:ascii="Inter" w:hAnsi="Inter" w:eastAsia="Inter" w:cs="Inter"/>
          <w:b w:val="0"/>
          <w:color w:val="323237"/>
          <w:sz w:val="17"/>
        </w:rPr>
        <w:t>Workable | JobStreet | Google Workspace | GitHub</w:t>
      </w:r>
    </w:p>
    <w:p>
      <w:pPr>
        <w:keepNext w:val="0"/>
        <w:keepLines/>
        <w:widowControl/>
        <w:spacing w:before="0" w:after="20" w:line="257" w:lineRule="auto"/>
        <w:ind w:left="0" w:firstLine="0"/>
      </w:pPr>
      <w:r>
        <w:rPr>
          <w:rFonts w:ascii="Inter" w:hAnsi="Inter" w:eastAsia="Inter" w:cs="Inter"/>
          <w:b/>
          <w:color w:val="1D1D20"/>
          <w:sz w:val="17"/>
        </w:rPr>
        <w:t xml:space="preserve">Web &amp; Digital: </w:t>
      </w:r>
      <w:r>
        <w:rPr>
          <w:rFonts w:ascii="Inter" w:hAnsi="Inter" w:eastAsia="Inter" w:cs="Inter"/>
          <w:b w:val="0"/>
          <w:color w:val="323237"/>
          <w:sz w:val="17"/>
        </w:rPr>
        <w:t>HTML5 | CSS3 | JavaScript | GitHub Pages | Web Prototyping</w:t>
      </w:r>
    </w:p>
    <w:p>
      <w:pPr>
        <w:keepNext/>
        <w:keepLines/>
        <w:widowControl/>
        <w:spacing w:before="142" w:after="60" w:line="240" w:lineRule="auto"/>
        <w:ind w:left="0" w:firstLine="0"/>
        <w:pBdr>
          <w:bottom w:val="single" w:sz="4" w:space="2" w:color="D8D8DD"/>
        </w:pBdr>
      </w:pPr>
      <w:r>
        <w:rPr>
          <w:rFonts w:ascii="Inter" w:hAnsi="Inter" w:eastAsia="Inter" w:cs="Inter"/>
          <w:b/>
          <w:color w:val="E85214"/>
          <w:sz w:val="19"/>
        </w:rPr>
        <w:t>CERTIFICATIONS &amp; PROFESSIONAL DEVELOPMENT</w:t>
      </w:r>
    </w:p>
    <w:p>
      <w:pPr>
        <w:keepNext w:val="0"/>
        <w:keepLines/>
        <w:widowControl/>
        <w:spacing w:before="0" w:after="18" w:line="257" w:lineRule="auto"/>
        <w:ind w:left="0" w:firstLine="0"/>
      </w:pPr>
      <w:r>
        <w:rPr>
          <w:rFonts w:ascii="Inter" w:hAnsi="Inter" w:eastAsia="Inter" w:cs="Inter"/>
          <w:b/>
          <w:color w:val="1D1D20"/>
          <w:sz w:val="17"/>
        </w:rPr>
        <w:t xml:space="preserve">Six Sigma Yellow Belt: </w:t>
      </w:r>
      <w:r>
        <w:rPr>
          <w:rFonts w:ascii="Inter" w:hAnsi="Inter" w:eastAsia="Inter" w:cs="Inter"/>
          <w:b w:val="0"/>
          <w:color w:val="323237"/>
          <w:sz w:val="17"/>
        </w:rPr>
        <w:t>Credential ID 852118</w:t>
      </w:r>
    </w:p>
    <w:p>
      <w:pPr>
        <w:keepNext w:val="0"/>
        <w:keepLines/>
        <w:widowControl/>
        <w:spacing w:before="0" w:after="18" w:line="257" w:lineRule="auto"/>
        <w:ind w:left="0" w:firstLine="0"/>
      </w:pPr>
      <w:r>
        <w:rPr>
          <w:rFonts w:ascii="Inter" w:hAnsi="Inter" w:eastAsia="Inter" w:cs="Inter"/>
          <w:b/>
          <w:color w:val="1D1D20"/>
          <w:sz w:val="17"/>
        </w:rPr>
        <w:t xml:space="preserve">Six Sigma White Belt in Call Centers: </w:t>
      </w:r>
      <w:r>
        <w:rPr>
          <w:rFonts w:ascii="Inter" w:hAnsi="Inter" w:eastAsia="Inter" w:cs="Inter"/>
          <w:b w:val="0"/>
          <w:color w:val="323237"/>
          <w:sz w:val="17"/>
        </w:rPr>
        <w:t>Credential ID wf4EGTEn5h</w:t>
      </w:r>
    </w:p>
    <w:p>
      <w:pPr>
        <w:keepNext w:val="0"/>
        <w:keepLines/>
        <w:widowControl/>
        <w:spacing w:before="0" w:after="18" w:line="257" w:lineRule="auto"/>
        <w:ind w:left="0" w:firstLine="0"/>
      </w:pPr>
      <w:r>
        <w:rPr>
          <w:rFonts w:ascii="Inter" w:hAnsi="Inter" w:eastAsia="Inter" w:cs="Inter"/>
          <w:b/>
          <w:color w:val="1D1D20"/>
          <w:sz w:val="17"/>
        </w:rPr>
        <w:t xml:space="preserve">Payscale Product Certification: </w:t>
      </w:r>
      <w:r>
        <w:rPr>
          <w:rFonts w:ascii="Inter" w:hAnsi="Inter" w:eastAsia="Inter" w:cs="Inter"/>
          <w:b w:val="0"/>
          <w:color w:val="323237"/>
          <w:sz w:val="17"/>
        </w:rPr>
        <w:t>Payscale, Jun 2025</w:t>
      </w:r>
    </w:p>
    <w:p>
      <w:pPr>
        <w:keepNext w:val="0"/>
        <w:keepLines/>
        <w:widowControl/>
        <w:spacing w:before="0" w:after="18" w:line="257" w:lineRule="auto"/>
        <w:ind w:left="0" w:firstLine="0"/>
      </w:pPr>
      <w:r>
        <w:rPr>
          <w:rFonts w:ascii="Inter" w:hAnsi="Inter" w:eastAsia="Inter" w:cs="Inter"/>
          <w:b/>
          <w:color w:val="1D1D20"/>
          <w:sz w:val="17"/>
        </w:rPr>
        <w:t xml:space="preserve">360Learning Certification Series: </w:t>
      </w:r>
      <w:r>
        <w:rPr>
          <w:rFonts w:ascii="Inter" w:hAnsi="Inter" w:eastAsia="Inter" w:cs="Inter"/>
          <w:b w:val="0"/>
          <w:color w:val="323237"/>
          <w:sz w:val="17"/>
        </w:rPr>
        <w:t>Digital Learning Design | Advanced AI: Strategic Applications | AI Certification for L&amp;D | Business Strategy for L&amp;D | Governance for L&amp;D | Strategic Tools and Tech for L&amp;D | L&amp;D Performance Academy | L&amp;D Team Organization</w:t>
      </w:r>
    </w:p>
    <w:p>
      <w:pPr>
        <w:keepNext w:val="0"/>
        <w:keepLines/>
        <w:widowControl/>
        <w:spacing w:before="0" w:after="18" w:line="257" w:lineRule="auto"/>
        <w:ind w:left="0" w:firstLine="0"/>
      </w:pPr>
      <w:r>
        <w:rPr>
          <w:rFonts w:ascii="Inter" w:hAnsi="Inter" w:eastAsia="Inter" w:cs="Inter"/>
          <w:b/>
          <w:color w:val="1D1D20"/>
          <w:sz w:val="17"/>
        </w:rPr>
        <w:t xml:space="preserve">Gallup CliftonStrengths: </w:t>
      </w:r>
      <w:r>
        <w:rPr>
          <w:rFonts w:ascii="Inter" w:hAnsi="Inter" w:eastAsia="Inter" w:cs="Inter"/>
          <w:b w:val="0"/>
          <w:color w:val="323237"/>
          <w:sz w:val="17"/>
        </w:rPr>
        <w:t>Top 5: Connectedness | Analytical | Input | Strategic | Communication</w:t>
      </w:r>
    </w:p>
    <w:p>
      <w:pPr>
        <w:keepNext/>
        <w:keepLines/>
        <w:widowControl/>
        <w:spacing w:before="142" w:after="60" w:line="240" w:lineRule="auto"/>
        <w:ind w:left="0" w:firstLine="0"/>
        <w:pBdr>
          <w:bottom w:val="single" w:sz="4" w:space="2" w:color="D8D8DD"/>
        </w:pBdr>
      </w:pPr>
      <w:r>
        <w:rPr>
          <w:rFonts w:ascii="Inter" w:hAnsi="Inter" w:eastAsia="Inter" w:cs="Inter"/>
          <w:b/>
          <w:color w:val="E85214"/>
          <w:sz w:val="19"/>
        </w:rPr>
        <w:t>EDUCATION</w:t>
      </w:r>
    </w:p>
    <w:p>
      <w:pPr>
        <w:keepNext w:val="0"/>
        <w:keepLines/>
        <w:widowControl/>
        <w:spacing w:before="0" w:after="0" w:line="252" w:lineRule="auto"/>
        <w:ind w:left="0" w:firstLine="0"/>
      </w:pPr>
      <w:r>
        <w:rPr>
          <w:rFonts w:ascii="Inter" w:hAnsi="Inter" w:eastAsia="Inter" w:cs="Inter"/>
          <w:b/>
          <w:color w:val="1D1D20"/>
          <w:sz w:val="18"/>
        </w:rPr>
        <w:t>Bachelor of Science in Psychology</w:t>
      </w:r>
      <w:r>
        <w:rPr>
          <w:rFonts w:ascii="Inter" w:hAnsi="Inter" w:eastAsia="Inter" w:cs="Inter"/>
          <w:b w:val="0"/>
          <w:color w:val="57575D"/>
          <w:sz w:val="17"/>
        </w:rPr>
        <w:t xml:space="preserve">  |  Centro Escolar University Manila</w:t>
      </w:r>
    </w:p>
    <w:sectPr w:rsidR="00FC693F" w:rsidRPr="0006063C" w:rsidSect="00034616">
      <w:footerReference w:type="default" r:id="rId9"/>
      <w:pgSz w:w="12240" w:h="15840"/>
      <w:pgMar w:top="950" w:right="979" w:bottom="864"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240" w:lineRule="auto"/>
      <w:ind w:left="0" w:firstLine="0"/>
      <w:jc w:val="right"/>
    </w:pPr>
    <w:r>
      <w:rPr>
        <w:rFonts w:ascii="Inter" w:hAnsi="Inter" w:eastAsia="Inter" w:cs="Inter"/>
        <w:b w:val="0"/>
        <w:color w:val="74747A"/>
        <w:sz w:val="14"/>
      </w:rPr>
      <w:t>Alphonse Kanapi  |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Inter" w:hAnsi="Inter"/>
      <w:color w:val="3232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