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rPr>
        <w:t xml:space="preserve">PRAKTIKUM PYTHON UNTUK SISTEM CERDAS</w:t>
      </w:r>
    </w:p>
    <w:p>
      <w:pPr>
        <w:spacing w:after="160"/>
        <w:jc w:val="center"/>
      </w:pPr>
      <w:r>
        <w:t xml:space="preserve">Mata kuliah Python untuk Sistem Cerdas</w:t>
      </w:r>
    </w:p>
    <w:p>
      <w:pPr>
        <w:spacing w:after="160"/>
        <w:jc w:val="center"/>
      </w:pPr>
      <w:r>
        <w:t xml:space="preserve">D3 Teknik Informatika Kampus Kabupaten Madiun</w:t>
      </w:r>
    </w:p>
    <w:p>
      <w:pPr>
        <w:spacing w:after="300"/>
        <w:jc w:val="center"/>
      </w:pPr>
      <w:r>
        <w:t xml:space="preserve">Sekolah Vokasi Universitas Sebelas Maret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rPr>
          <w:tblHeader/>
        </w:trPr>
        <w:tc>
          <w:tcPr>
            <w:tcW w:type="dxa" w:w="6000"/>
            <w:shd w:fill="D9E2F3" w:color="auto" w:val="clear"/>
            <w:tcMar>
              <w:top w:type="dxa" w:w="60"/>
              <w:left w:type="dxa" w:w="100"/>
              <w:bottom w:type="dxa" w:w="60"/>
              <w:right w:type="dxa" w:w="100"/>
            </w:tcMar>
            <w:vAlign w:val="center"/>
          </w:tcPr>
          <w:p>
            <w:r>
              <w:rPr>
                <w:b/>
                <w:bCs/>
              </w:rPr>
              <w:t xml:space="preserve">Anggota tim</w:t>
            </w:r>
          </w:p>
        </w:tc>
        <w:tc>
          <w:tcPr>
            <w:tcW w:type="dxa" w:w="3360"/>
            <w:shd w:fill="D9E2F3" w:color="auto" w:val="clear"/>
            <w:tcMar>
              <w:top w:type="dxa" w:w="60"/>
              <w:left w:type="dxa" w:w="100"/>
              <w:bottom w:type="dxa" w:w="60"/>
              <w:right w:type="dxa" w:w="100"/>
            </w:tcMar>
            <w:vAlign w:val="center"/>
          </w:tcPr>
          <w:p>
            <w:r>
              <w:rPr>
                <w:b/>
                <w:bCs/>
              </w:rPr>
              <w:t xml:space="preserve">NIM</w:t>
            </w:r>
          </w:p>
        </w:tc>
      </w:tr>
      <w:tr>
        <w:tc>
          <w:tcPr>
            <w:tcW w:type="dxa" w:w="6000"/>
            <w:tcMar>
              <w:top w:type="dxa" w:w="60"/>
              <w:left w:type="dxa" w:w="100"/>
              <w:bottom w:type="dxa" w:w="60"/>
              <w:right w:type="dxa" w:w="100"/>
            </w:tcMar>
            <w:vAlign w:val="center"/>
          </w:tcPr>
          <w:p>
            <w:r>
              <w:rPr>
                <w:b w:val="false"/>
                <w:bCs w:val="false"/>
              </w:rPr>
              <w:t xml:space="preserve">Alpin Aditya Pratama</w:t>
            </w:r>
          </w:p>
        </w:tc>
        <w:tc>
          <w:tcPr>
            <w:tcW w:type="dxa" w:w="3360"/>
            <w:tcMar>
              <w:top w:type="dxa" w:w="60"/>
              <w:left w:type="dxa" w:w="100"/>
              <w:bottom w:type="dxa" w:w="60"/>
              <w:right w:type="dxa" w:w="100"/>
            </w:tcMar>
            <w:vAlign w:val="center"/>
          </w:tcPr>
          <w:p>
            <w:r>
              <w:rPr>
                <w:b w:val="false"/>
                <w:bCs w:val="false"/>
              </w:rPr>
              <w:t xml:space="preserve">V3925004</w:t>
            </w:r>
          </w:p>
        </w:tc>
      </w:tr>
      <w:tr>
        <w:tc>
          <w:tcPr>
            <w:tcW w:type="dxa" w:w="6000"/>
            <w:tcMar>
              <w:top w:type="dxa" w:w="60"/>
              <w:left w:type="dxa" w:w="100"/>
              <w:bottom w:type="dxa" w:w="60"/>
              <w:right w:type="dxa" w:w="100"/>
            </w:tcMar>
            <w:vAlign w:val="center"/>
          </w:tcPr>
          <w:p>
            <w:r>
              <w:rPr>
                <w:b w:val="false"/>
                <w:bCs w:val="false"/>
              </w:rPr>
              <w:t xml:space="preserve">Dimas Aryo Sejati</w:t>
            </w:r>
          </w:p>
        </w:tc>
        <w:tc>
          <w:tcPr>
            <w:tcW w:type="dxa" w:w="3360"/>
            <w:tcMar>
              <w:top w:type="dxa" w:w="60"/>
              <w:left w:type="dxa" w:w="100"/>
              <w:bottom w:type="dxa" w:w="60"/>
              <w:right w:type="dxa" w:w="100"/>
            </w:tcMar>
            <w:vAlign w:val="center"/>
          </w:tcPr>
          <w:p>
            <w:r>
              <w:rPr>
                <w:b w:val="false"/>
                <w:bCs w:val="false"/>
              </w:rPr>
              <w:t xml:space="preserve">V3925022</w:t>
            </w:r>
          </w:p>
        </w:tc>
      </w:tr>
    </w:tbl>
    <w:p>
      <w:pPr>
        <w:spacing w:after="160"/>
      </w:pPr>
      <w:r>
        <w:t xml:space="preserve"/>
      </w:r>
    </w:p>
    <w:p>
      <w:pPr>
        <w:pStyle w:val="Heading1"/>
        <w:spacing w:after="150" w:before="300"/>
      </w:pPr>
      <w:r>
        <w:t xml:space="preserve">Tugas Mandiri Hari 2 — AquaSmart AIoT</w:t>
      </w:r>
    </w:p>
    <w:p>
      <w:pPr>
        <w:spacing w:after="160"/>
      </w:pPr>
      <w:r>
        <w:t xml:space="preserve">Laporan ini menjawab Soal 1–3 pada </w:t>
      </w:r>
      <w:r>
        <w:rPr>
          <w:b/>
          <w:bCs/>
        </w:rPr>
        <w:t xml:space="preserve">MODUL_PRAKTIKUM2.pdf</w:t>
      </w:r>
      <w:r>
        <w:t xml:space="preserve"> (Hari 2: Evaluasi dan Perbandingan Model), </w:t>
      </w:r>
      <w:r>
        <w:rPr>
          <w:b/>
          <w:bCs/>
        </w:rPr>
        <w:t xml:space="preserve">Bagian 1 — Machine Learning dan Deep Learning</w:t>
      </w:r>
      <w:r>
        <w:t xml:space="preserve">. Bagian ini dipilih karena AquaSmart Hari 1 sudah melatih model sendiri (Random Forest) dari data sensor tabular, bukan memanggil LLM pre-trained. Semua pekerjaan melanjutkan model dan pembagian data Hari 1; tidak memulai project baru dan tidak memakai data contoh modul (triase klinik).</w:t>
      </w:r>
    </w:p>
    <w:p>
      <w:pPr>
        <w:spacing w:after="160"/>
      </w:pPr>
      <w:r>
        <w:rPr>
          <w:b/>
          <w:bCs/>
        </w:rPr>
        <w:t xml:space="preserve">Sumber data.</w:t>
      </w:r>
      <w:r>
        <w:t xml:space="preserve"> Fitur dan label yang sudah dibersihkan dan diaudit pada Hari 1 (</w:t>
      </w:r>
      <w:r>
        <w:t xml:space="preserve">tugas_mandiri/fitur_dan_target.csv</w:t>
      </w:r>
      <w:r>
        <w:t xml:space="preserve">), bukan data contoh modul, dan bukan CSV mentah 505.730 baris (tidak ikut di-commit ke Git; asal-usulnya ada di README_MANDIRI.md).</w:t>
      </w:r>
    </w:p>
    <w:p>
      <w:pPr>
        <w:spacing w:after="160"/>
      </w:pPr>
      <w:r>
        <w:rPr>
          <w:b/>
          <w:bCs/>
        </w:rPr>
        <w:t xml:space="preserve">Reproduksibilitas.</w:t>
      </w:r>
      <w:r>
        <w:t xml:space="preserve"> Semua angka pada laporan ini adalah keluaran nyata dari menjalankan </w:t>
      </w:r>
      <w:r>
        <w:t xml:space="preserve">run_hari2.py</w:t>
      </w:r>
      <w:r>
        <w:t xml:space="preserve">, tersimpan di </w:t>
      </w:r>
      <w:r>
        <w:t xml:space="preserve">hasil/evaluasi_hari2.json</w:t>
      </w:r>
      <w:r>
        <w:t xml:space="preserve"> dan berkas CSV/PNG pendukung pada folder yang sama. Tidak ada angka yang ditulis manual.</w:t>
      </w:r>
    </w:p>
    <w:p>
      <w:pPr>
        <w:pStyle w:val="Heading1"/>
        <w:spacing w:after="150" w:before="300"/>
      </w:pPr>
      <w:r>
        <w:t xml:space="preserve">Soal 1 – Bagian, Metrik, dan Pembanding</w:t>
      </w:r>
    </w:p>
    <w:p>
      <w:pPr>
        <w:spacing w:after="160"/>
      </w:pPr>
      <w:r>
        <w:rPr>
          <w:b/>
          <w:bCs/>
        </w:rPr>
        <w:t xml:space="preserve">a. Bagian yang dikerjakan dan alasannya. </w:t>
      </w:r>
      <w:r>
        <w:t xml:space="preserve">Bagian 1 (Machine Learning dan Deep Learning). AquaSmart Hari 1 melatih model sendiri (Random Forest) dari data sensor tabular miliknya (pH, TDS, suhu setiap 5 menit dari pond_iot_2023_raw.csv), bukan memanggil LLM pre-trained. Tugas Hari 2 ini melanjutkan model dan pembagian data yang sama, bukan memulai project baru.</w:t>
      </w:r>
    </w:p>
    <w:p>
      <w:pPr>
        <w:spacing w:after="160"/>
      </w:pPr>
      <w:r>
        <w:rPr>
          <w:b/>
          <w:bCs/>
        </w:rPr>
        <w:t xml:space="preserve">b. Metrik utama beserta alasannya. </w:t>
      </w:r>
      <w:r>
        <w:t xml:space="preserve">Metrik utama: macro F1 dan balanced accuracy, dengan recall alarm sebagai metrik pelengkap — sama seperti definisi score() pada mandiri.py Hari 1. Alasannya:</w:t>
      </w:r>
    </w:p>
    <w:p>
      <w:pPr>
        <w:spacing w:after="160"/>
      </w:pPr>
      <w:r>
        <w:t xml:space="preserve">• Kelas pada data ini sangat tidak seimbang, tetapi terbalik dari contoh modul (triase): kelas "di luar ambang" (alarm) adalah mayoritas (~91% di data latih), bukan minoritas. Accuracy saja menyesatkan karena classifier yang selalu menjawab "di luar ambang" sudah mendapat accuracy tinggi tanpa belajar apa pun (baseline Dummy mayoritas Hari 1: accuracy 0,882 tetapi macro F1 hanya 0,469).</w:t>
      </w:r>
    </w:p>
    <w:p>
      <w:pPr>
        <w:spacing w:after="160"/>
      </w:pPr>
      <w:r>
        <w:t xml:space="preserve">• Macro F1 dan balanced accuracy memberi bobot setara ke kedua kelas, sehingga kegagalan pada kelas minoritas ("dalam ambang") tetap terlihat walau jumlahnya sedikit.</w:t>
      </w:r>
    </w:p>
    <w:p>
      <w:pPr>
        <w:spacing w:after="160"/>
      </w:pPr>
      <w:r>
        <w:t xml:space="preserve">• Recall alarm tetap dipantau karena ini konteks skrining kualitas air: alarm yang terlewat (FN pada kelas "di luar ambang") berisiko lebih mahal daripada alarm palsu.</w:t>
      </w:r>
    </w:p>
    <w:p>
      <w:pPr>
        <w:pStyle w:val="Heading1"/>
        <w:spacing w:after="150" w:before="300"/>
      </w:pPr>
      <w:r>
        <w:t xml:space="preserve">Soal 2 – Evaluasi dan Perbandingan</w:t>
      </w:r>
    </w:p>
    <w:p>
      <w:pPr>
        <w:pStyle w:val="Heading2"/>
        <w:spacing w:after="120" w:before="240"/>
      </w:pPr>
      <w:r>
        <w:t xml:space="preserve">a. Confusion matrix baseline Hari 1 (data uji)</w:t>
      </w:r>
    </w:p>
    <w:p>
      <w:pPr>
        <w:jc w:val="center"/>
      </w:pPr>
      <w:r>
        <w:drawing>
          <wp:inline distT="0" distB="0" distL="0" distR="0">
            <wp:extent cx="5303520" cy="39776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03520" cy="3977640"/>
                    </a:xfrm>
                    <a:prstGeom prst="rect">
                      <a:avLst/>
                    </a:prstGeom>
                  </pic:spPr>
                </pic:pic>
              </a:graphicData>
            </a:graphic>
          </wp:inline>
        </w:drawing>
      </w:r>
    </w:p>
    <w:p>
      <w:pPr>
        <w:spacing w:after="200"/>
        <w:jc w:val="center"/>
      </w:pPr>
      <w:r>
        <w:rPr>
          <w:i/>
          <w:iCs/>
          <w:sz w:val="20"/>
          <w:szCs w:val="20"/>
        </w:rPr>
        <w:t xml:space="preserve">Gambar 1. Confusion matrix Random Forest Hari 1 (n_estimators=160, max_depth=10, min_samples_leaf=5, threshold 0,5) pada data uji (2.135 baris).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rPr>
          <w:tblHeader/>
        </w:trPr>
        <w:tc>
          <w:tcPr>
            <w:tcW w:type="dxa" w:w="6360"/>
            <w:shd w:fill="D9E2F3" w:color="auto" w:val="clear"/>
            <w:tcMar>
              <w:top w:type="dxa" w:w="60"/>
              <w:left w:type="dxa" w:w="100"/>
              <w:bottom w:type="dxa" w:w="60"/>
              <w:right w:type="dxa" w:w="100"/>
            </w:tcMar>
            <w:vAlign w:val="center"/>
          </w:tcPr>
          <w:p>
            <w:r>
              <w:rPr>
                <w:b/>
                <w:bCs/>
              </w:rPr>
              <w:t xml:space="preserve">Metrik</w:t>
            </w:r>
          </w:p>
        </w:tc>
        <w:tc>
          <w:tcPr>
            <w:tcW w:type="dxa" w:w="3000"/>
            <w:shd w:fill="D9E2F3" w:color="auto" w:val="clear"/>
            <w:tcMar>
              <w:top w:type="dxa" w:w="60"/>
              <w:left w:type="dxa" w:w="100"/>
              <w:bottom w:type="dxa" w:w="60"/>
              <w:right w:type="dxa" w:w="100"/>
            </w:tcMar>
            <w:vAlign w:val="center"/>
          </w:tcPr>
          <w:p>
            <w:r>
              <w:rPr>
                <w:b/>
                <w:bCs/>
              </w:rPr>
              <w:t xml:space="preserve">Nilai</w:t>
            </w:r>
          </w:p>
        </w:tc>
      </w:tr>
      <w:tr>
        <w:tc>
          <w:tcPr>
            <w:tcW w:type="dxa" w:w="6360"/>
            <w:tcMar>
              <w:top w:type="dxa" w:w="60"/>
              <w:left w:type="dxa" w:w="100"/>
              <w:bottom w:type="dxa" w:w="60"/>
              <w:right w:type="dxa" w:w="100"/>
            </w:tcMar>
            <w:vAlign w:val="center"/>
          </w:tcPr>
          <w:p>
            <w:r>
              <w:rPr>
                <w:b w:val="false"/>
                <w:bCs w:val="false"/>
              </w:rPr>
              <w:t xml:space="preserve">Macro F1</w:t>
            </w:r>
          </w:p>
        </w:tc>
        <w:tc>
          <w:tcPr>
            <w:tcW w:type="dxa" w:w="3000"/>
            <w:tcMar>
              <w:top w:type="dxa" w:w="60"/>
              <w:left w:type="dxa" w:w="100"/>
              <w:bottom w:type="dxa" w:w="60"/>
              <w:right w:type="dxa" w:w="100"/>
            </w:tcMar>
            <w:vAlign w:val="center"/>
          </w:tcPr>
          <w:p>
            <w:r>
              <w:rPr>
                <w:b w:val="false"/>
                <w:bCs w:val="false"/>
              </w:rPr>
              <w:t xml:space="preserve">0,8951</w:t>
            </w:r>
          </w:p>
        </w:tc>
      </w:tr>
      <w:tr>
        <w:tc>
          <w:tcPr>
            <w:tcW w:type="dxa" w:w="6360"/>
            <w:tcMar>
              <w:top w:type="dxa" w:w="60"/>
              <w:left w:type="dxa" w:w="100"/>
              <w:bottom w:type="dxa" w:w="60"/>
              <w:right w:type="dxa" w:w="100"/>
            </w:tcMar>
            <w:vAlign w:val="center"/>
          </w:tcPr>
          <w:p>
            <w:r>
              <w:rPr>
                <w:b w:val="false"/>
                <w:bCs w:val="false"/>
              </w:rPr>
              <w:t xml:space="preserve">Balanced accuracy</w:t>
            </w:r>
          </w:p>
        </w:tc>
        <w:tc>
          <w:tcPr>
            <w:tcW w:type="dxa" w:w="3000"/>
            <w:tcMar>
              <w:top w:type="dxa" w:w="60"/>
              <w:left w:type="dxa" w:w="100"/>
              <w:bottom w:type="dxa" w:w="60"/>
              <w:right w:type="dxa" w:w="100"/>
            </w:tcMar>
            <w:vAlign w:val="center"/>
          </w:tcPr>
          <w:p>
            <w:r>
              <w:rPr>
                <w:b w:val="false"/>
                <w:bCs w:val="false"/>
              </w:rPr>
              <w:t xml:space="preserve">0,9155</w:t>
            </w:r>
          </w:p>
        </w:tc>
      </w:tr>
      <w:tr>
        <w:tc>
          <w:tcPr>
            <w:tcW w:type="dxa" w:w="6360"/>
            <w:tcMar>
              <w:top w:type="dxa" w:w="60"/>
              <w:left w:type="dxa" w:w="100"/>
              <w:bottom w:type="dxa" w:w="60"/>
              <w:right w:type="dxa" w:w="100"/>
            </w:tcMar>
            <w:vAlign w:val="center"/>
          </w:tcPr>
          <w:p>
            <w:r>
              <w:rPr>
                <w:b w:val="false"/>
                <w:bCs w:val="false"/>
              </w:rPr>
              <w:t xml:space="preserve">Recall alarm</w:t>
            </w:r>
          </w:p>
        </w:tc>
        <w:tc>
          <w:tcPr>
            <w:tcW w:type="dxa" w:w="3000"/>
            <w:tcMar>
              <w:top w:type="dxa" w:w="60"/>
              <w:left w:type="dxa" w:w="100"/>
              <w:bottom w:type="dxa" w:w="60"/>
              <w:right w:type="dxa" w:w="100"/>
            </w:tcMar>
            <w:vAlign w:val="center"/>
          </w:tcPr>
          <w:p>
            <w:r>
              <w:rPr>
                <w:b w:val="false"/>
                <w:bCs w:val="false"/>
              </w:rPr>
              <w:t xml:space="preserve">0,9660</w:t>
            </w:r>
          </w:p>
        </w:tc>
      </w:tr>
      <w:tr>
        <w:tc>
          <w:tcPr>
            <w:tcW w:type="dxa" w:w="6360"/>
            <w:tcMar>
              <w:top w:type="dxa" w:w="60"/>
              <w:left w:type="dxa" w:w="100"/>
              <w:bottom w:type="dxa" w:w="60"/>
              <w:right w:type="dxa" w:w="100"/>
            </w:tcMar>
            <w:vAlign w:val="center"/>
          </w:tcPr>
          <w:p>
            <w:r>
              <w:rPr>
                <w:b w:val="false"/>
                <w:bCs w:val="false"/>
              </w:rPr>
              <w:t xml:space="preserve">Accuracy</w:t>
            </w:r>
          </w:p>
        </w:tc>
        <w:tc>
          <w:tcPr>
            <w:tcW w:type="dxa" w:w="3000"/>
            <w:tcMar>
              <w:top w:type="dxa" w:w="60"/>
              <w:left w:type="dxa" w:w="100"/>
              <w:bottom w:type="dxa" w:w="60"/>
              <w:right w:type="dxa" w:w="100"/>
            </w:tcMar>
            <w:vAlign w:val="center"/>
          </w:tcPr>
          <w:p>
            <w:r>
              <w:rPr>
                <w:b w:val="false"/>
                <w:bCs w:val="false"/>
              </w:rPr>
              <w:t xml:space="preserve">0,9541</w:t>
            </w:r>
          </w:p>
        </w:tc>
      </w:tr>
    </w:tbl>
    <w:p>
      <w:pPr>
        <w:spacing w:after="160"/>
      </w:pPr>
      <w:r>
        <w:t xml:space="preserve"/>
      </w:r>
    </w:p>
    <w:p>
      <w:pPr>
        <w:pStyle w:val="Heading2"/>
        <w:spacing w:after="120" w:before="240"/>
      </w:pPr>
      <w:r>
        <w:t xml:space="preserve">Perbandingan minimal dua model (5-fold cross-validation, data latih)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200"/>
        <w:gridCol w:w="1960"/>
      </w:tblGrid>
      <w:tr>
        <w:trPr>
          <w:tblHeader/>
        </w:trPr>
        <w:tc>
          <w:tcPr>
            <w:tcW w:type="dxa" w:w="3000"/>
            <w:shd w:fill="D9E2F3" w:color="auto" w:val="clear"/>
            <w:tcMar>
              <w:top w:type="dxa" w:w="60"/>
              <w:left w:type="dxa" w:w="100"/>
              <w:bottom w:type="dxa" w:w="60"/>
              <w:right w:type="dxa" w:w="100"/>
            </w:tcMar>
            <w:vAlign w:val="center"/>
          </w:tcPr>
          <w:p>
            <w:r>
              <w:rPr>
                <w:b/>
                <w:bCs/>
              </w:rPr>
              <w:t xml:space="preserve">Model</w:t>
            </w:r>
          </w:p>
        </w:tc>
        <w:tc>
          <w:tcPr>
            <w:tcW w:type="dxa" w:w="2200"/>
            <w:shd w:fill="D9E2F3" w:color="auto" w:val="clear"/>
            <w:tcMar>
              <w:top w:type="dxa" w:w="60"/>
              <w:left w:type="dxa" w:w="100"/>
              <w:bottom w:type="dxa" w:w="60"/>
              <w:right w:type="dxa" w:w="100"/>
            </w:tcMar>
            <w:vAlign w:val="center"/>
          </w:tcPr>
          <w:p>
            <w:r>
              <w:rPr>
                <w:b/>
                <w:bCs/>
              </w:rPr>
              <w:t xml:space="preserve">Precision alarm</w:t>
            </w:r>
          </w:p>
        </w:tc>
        <w:tc>
          <w:tcPr>
            <w:tcW w:type="dxa" w:w="2200"/>
            <w:shd w:fill="D9E2F3" w:color="auto" w:val="clear"/>
            <w:tcMar>
              <w:top w:type="dxa" w:w="60"/>
              <w:left w:type="dxa" w:w="100"/>
              <w:bottom w:type="dxa" w:w="60"/>
              <w:right w:type="dxa" w:w="100"/>
            </w:tcMar>
            <w:vAlign w:val="center"/>
          </w:tcPr>
          <w:p>
            <w:r>
              <w:rPr>
                <w:b/>
                <w:bCs/>
              </w:rPr>
              <w:t xml:space="preserve">Recall alarm</w:t>
            </w:r>
          </w:p>
        </w:tc>
        <w:tc>
          <w:tcPr>
            <w:tcW w:type="dxa" w:w="1960"/>
            <w:shd w:fill="D9E2F3" w:color="auto" w:val="clear"/>
            <w:tcMar>
              <w:top w:type="dxa" w:w="60"/>
              <w:left w:type="dxa" w:w="100"/>
              <w:bottom w:type="dxa" w:w="60"/>
              <w:right w:type="dxa" w:w="100"/>
            </w:tcMar>
            <w:vAlign w:val="center"/>
          </w:tcPr>
          <w:p>
            <w:r>
              <w:rPr>
                <w:b/>
                <w:bCs/>
              </w:rPr>
              <w:t xml:space="preserve">Macro F1</w:t>
            </w:r>
          </w:p>
        </w:tc>
      </w:tr>
      <w:tr>
        <w:tc>
          <w:tcPr>
            <w:tcW w:type="dxa" w:w="3000"/>
            <w:tcMar>
              <w:top w:type="dxa" w:w="60"/>
              <w:left w:type="dxa" w:w="100"/>
              <w:bottom w:type="dxa" w:w="60"/>
              <w:right w:type="dxa" w:w="100"/>
            </w:tcMar>
            <w:vAlign w:val="center"/>
          </w:tcPr>
          <w:p>
            <w:r>
              <w:rPr>
                <w:b w:val="false"/>
                <w:bCs w:val="false"/>
              </w:rPr>
              <w:t xml:space="preserve">Logistic Regression</w:t>
            </w:r>
          </w:p>
        </w:tc>
        <w:tc>
          <w:tcPr>
            <w:tcW w:type="dxa" w:w="2200"/>
            <w:tcMar>
              <w:top w:type="dxa" w:w="60"/>
              <w:left w:type="dxa" w:w="100"/>
              <w:bottom w:type="dxa" w:w="60"/>
              <w:right w:type="dxa" w:w="100"/>
            </w:tcMar>
            <w:vAlign w:val="center"/>
          </w:tcPr>
          <w:p>
            <w:r>
              <w:rPr>
                <w:b w:val="false"/>
                <w:bCs w:val="false"/>
              </w:rPr>
              <w:t xml:space="preserve">0,992 ± 0,011</w:t>
            </w:r>
          </w:p>
        </w:tc>
        <w:tc>
          <w:tcPr>
            <w:tcW w:type="dxa" w:w="2200"/>
            <w:tcMar>
              <w:top w:type="dxa" w:w="60"/>
              <w:left w:type="dxa" w:w="100"/>
              <w:bottom w:type="dxa" w:w="60"/>
              <w:right w:type="dxa" w:w="100"/>
            </w:tcMar>
            <w:vAlign w:val="center"/>
          </w:tcPr>
          <w:p>
            <w:r>
              <w:rPr>
                <w:b w:val="false"/>
                <w:bCs w:val="false"/>
              </w:rPr>
              <w:t xml:space="preserve">0,825 ± 0,180</w:t>
            </w:r>
          </w:p>
        </w:tc>
        <w:tc>
          <w:tcPr>
            <w:tcW w:type="dxa" w:w="1960"/>
            <w:tcMar>
              <w:top w:type="dxa" w:w="60"/>
              <w:left w:type="dxa" w:w="100"/>
              <w:bottom w:type="dxa" w:w="60"/>
              <w:right w:type="dxa" w:w="100"/>
            </w:tcMar>
            <w:vAlign w:val="center"/>
          </w:tcPr>
          <w:p>
            <w:r>
              <w:rPr>
                <w:b w:val="false"/>
                <w:bCs w:val="false"/>
              </w:rPr>
              <w:t xml:space="preserve">0,739 ± 0,155</w:t>
            </w:r>
          </w:p>
        </w:tc>
      </w:tr>
      <w:tr>
        <w:tc>
          <w:tcPr>
            <w:tcW w:type="dxa" w:w="3000"/>
            <w:tcMar>
              <w:top w:type="dxa" w:w="60"/>
              <w:left w:type="dxa" w:w="100"/>
              <w:bottom w:type="dxa" w:w="60"/>
              <w:right w:type="dxa" w:w="100"/>
            </w:tcMar>
            <w:vAlign w:val="center"/>
          </w:tcPr>
          <w:p>
            <w:r>
              <w:rPr>
                <w:b w:val="false"/>
                <w:bCs w:val="false"/>
              </w:rPr>
              <w:t xml:space="preserve">Random Forest</w:t>
            </w:r>
          </w:p>
        </w:tc>
        <w:tc>
          <w:tcPr>
            <w:tcW w:type="dxa" w:w="2200"/>
            <w:tcMar>
              <w:top w:type="dxa" w:w="60"/>
              <w:left w:type="dxa" w:w="100"/>
              <w:bottom w:type="dxa" w:w="60"/>
              <w:right w:type="dxa" w:w="100"/>
            </w:tcMar>
            <w:vAlign w:val="center"/>
          </w:tcPr>
          <w:p>
            <w:r>
              <w:rPr>
                <w:b w:val="false"/>
                <w:bCs w:val="false"/>
              </w:rPr>
              <w:t xml:space="preserve">0,974 ± 0,031</w:t>
            </w:r>
          </w:p>
        </w:tc>
        <w:tc>
          <w:tcPr>
            <w:tcW w:type="dxa" w:w="2200"/>
            <w:tcMar>
              <w:top w:type="dxa" w:w="60"/>
              <w:left w:type="dxa" w:w="100"/>
              <w:bottom w:type="dxa" w:w="60"/>
              <w:right w:type="dxa" w:w="100"/>
            </w:tcMar>
            <w:vAlign w:val="center"/>
          </w:tcPr>
          <w:p>
            <w:r>
              <w:rPr>
                <w:b w:val="false"/>
                <w:bCs w:val="false"/>
              </w:rPr>
              <w:t xml:space="preserve">0,939 ± 0,064</w:t>
            </w:r>
          </w:p>
        </w:tc>
        <w:tc>
          <w:tcPr>
            <w:tcW w:type="dxa" w:w="1960"/>
            <w:tcMar>
              <w:top w:type="dxa" w:w="60"/>
              <w:left w:type="dxa" w:w="100"/>
              <w:bottom w:type="dxa" w:w="60"/>
              <w:right w:type="dxa" w:w="100"/>
            </w:tcMar>
            <w:vAlign w:val="center"/>
          </w:tcPr>
          <w:p>
            <w:r>
              <w:rPr>
                <w:b w:val="false"/>
                <w:bCs w:val="false"/>
              </w:rPr>
              <w:t xml:space="preserve">0,776 ± 0,114</w:t>
            </w:r>
          </w:p>
        </w:tc>
      </w:tr>
    </w:tbl>
    <w:p>
      <w:pPr>
        <w:spacing w:after="160"/>
      </w:pPr>
      <w:r>
        <w:t xml:space="preserve">Random Forest unggul pada macro F1 dan recall alarm; simpangannya juga lebih kecil, jadi lebih stabil antar fold. Logistic Regression punya precision lebih tinggi tetapi recall jauh lebih rendah dan sangat bervariasi (± 0,180) — beberapa fold gagal menangkap kelas minoritas.</w:t>
      </w:r>
    </w:p>
    <w:p>
      <w:pPr>
        <w:pStyle w:val="Heading2"/>
        <w:spacing w:after="120" w:before="240"/>
      </w:pPr>
      <w:r>
        <w:t xml:space="preserve">Hyperparameter tuning (GridSearchCV pada Random Forest)</w:t>
      </w:r>
    </w:p>
    <w:p>
      <w:pPr>
        <w:spacing w:after="160"/>
      </w:pPr>
      <w:r>
        <w:t xml:space="preserve">Kombinasi dicoba: n_estimators ∈ {100, 160, 300} × max_depth ∈ {6, 10, None}, scoring macro F1, 5-fold. Parameter terbaik: </w:t>
      </w:r>
      <w:r>
        <w:rPr>
          <w:b/>
          <w:bCs/>
        </w:rPr>
        <w:t xml:space="preserve">max_depth=6, n_estimators=100</w:t>
      </w:r>
      <w:r>
        <w:t xml:space="preserve">, macro F1 (CV) = 0,798.</w:t>
      </w:r>
    </w:p>
    <w:p>
      <w:pPr>
        <w:pStyle w:val="Heading2"/>
        <w:spacing w:after="120" w:before="240"/>
      </w:pPr>
      <w:r>
        <w:t xml:space="preserve">c. Tabel perbandingan akhir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shd w:fill="D9E2F3" w:color="auto" w:val="clear"/>
            <w:tcMar>
              <w:top w:type="dxa" w:w="60"/>
              <w:left w:type="dxa" w:w="100"/>
              <w:bottom w:type="dxa" w:w="60"/>
              <w:right w:type="dxa" w:w="100"/>
            </w:tcMar>
            <w:vAlign w:val="center"/>
          </w:tcPr>
          <w:p>
            <w:r>
              <w:rPr>
                <w:b/>
                <w:bCs/>
              </w:rPr>
              <w:t xml:space="preserve">Konfigurasi</w:t>
            </w:r>
          </w:p>
        </w:tc>
        <w:tc>
          <w:tcPr>
            <w:tcW w:type="dxa" w:w="2400"/>
            <w:shd w:fill="D9E2F3" w:color="auto" w:val="clear"/>
            <w:tcMar>
              <w:top w:type="dxa" w:w="60"/>
              <w:left w:type="dxa" w:w="100"/>
              <w:bottom w:type="dxa" w:w="60"/>
              <w:right w:type="dxa" w:w="100"/>
            </w:tcMar>
            <w:vAlign w:val="center"/>
          </w:tcPr>
          <w:p>
            <w:r>
              <w:rPr>
                <w:b/>
                <w:bCs/>
              </w:rPr>
              <w:t xml:space="preserve">Macro F1 (CV, data latih)</w:t>
            </w:r>
          </w:p>
        </w:tc>
        <w:tc>
          <w:tcPr>
            <w:tcW w:type="dxa" w:w="2400"/>
            <w:shd w:fill="D9E2F3" w:color="auto" w:val="clear"/>
            <w:tcMar>
              <w:top w:type="dxa" w:w="60"/>
              <w:left w:type="dxa" w:w="100"/>
              <w:bottom w:type="dxa" w:w="60"/>
              <w:right w:type="dxa" w:w="100"/>
            </w:tcMar>
            <w:vAlign w:val="center"/>
          </w:tcPr>
          <w:p>
            <w:r>
              <w:rPr>
                <w:b/>
                <w:bCs/>
              </w:rPr>
              <w:t xml:space="preserve">Macro F1 (data uji, sekali)</w:t>
            </w:r>
          </w:p>
        </w:tc>
      </w:tr>
      <w:tr>
        <w:tc>
          <w:tcPr>
            <w:tcW w:type="dxa" w:w="4560"/>
            <w:tcMar>
              <w:top w:type="dxa" w:w="60"/>
              <w:left w:type="dxa" w:w="100"/>
              <w:bottom w:type="dxa" w:w="60"/>
              <w:right w:type="dxa" w:w="100"/>
            </w:tcMar>
            <w:vAlign w:val="center"/>
          </w:tcPr>
          <w:p>
            <w:r>
              <w:rPr>
                <w:b w:val="false"/>
                <w:bCs w:val="false"/>
              </w:rPr>
              <w:t xml:space="preserve">Baseline Hari 1 (n_estimators=160, max_depth=10, min_samples_leaf=5, threshold 0,5)</w:t>
            </w:r>
          </w:p>
        </w:tc>
        <w:tc>
          <w:tcPr>
            <w:tcW w:type="dxa" w:w="2400"/>
            <w:tcMar>
              <w:top w:type="dxa" w:w="60"/>
              <w:left w:type="dxa" w:w="100"/>
              <w:bottom w:type="dxa" w:w="60"/>
              <w:right w:type="dxa" w:w="100"/>
            </w:tcMar>
            <w:vAlign w:val="center"/>
          </w:tcPr>
          <w:p>
            <w:r>
              <w:rPr>
                <w:b w:val="false"/>
                <w:bCs w:val="false"/>
              </w:rPr>
              <w:t xml:space="preserve">0,798 (dari Hari 1)</w:t>
            </w:r>
          </w:p>
        </w:tc>
        <w:tc>
          <w:tcPr>
            <w:tcW w:type="dxa" w:w="2400"/>
            <w:tcMar>
              <w:top w:type="dxa" w:w="60"/>
              <w:left w:type="dxa" w:w="100"/>
              <w:bottom w:type="dxa" w:w="60"/>
              <w:right w:type="dxa" w:w="100"/>
            </w:tcMar>
            <w:vAlign w:val="center"/>
          </w:tcPr>
          <w:p>
            <w:r>
              <w:rPr>
                <w:b w:val="false"/>
                <w:bCs w:val="false"/>
              </w:rPr>
              <w:t xml:space="preserve">0,8951</w:t>
            </w:r>
          </w:p>
        </w:tc>
      </w:tr>
      <w:tr>
        <w:tc>
          <w:tcPr>
            <w:tcW w:type="dxa" w:w="4560"/>
            <w:tcMar>
              <w:top w:type="dxa" w:w="60"/>
              <w:left w:type="dxa" w:w="100"/>
              <w:bottom w:type="dxa" w:w="60"/>
              <w:right w:type="dxa" w:w="100"/>
            </w:tcMar>
            <w:vAlign w:val="center"/>
          </w:tcPr>
          <w:p>
            <w:r>
              <w:rPr>
                <w:b w:val="false"/>
                <w:bCs w:val="false"/>
              </w:rPr>
              <w:t xml:space="preserve">Hasil tuning (max_depth=6, n_estimators=100) + threshold 0,3</w:t>
            </w:r>
          </w:p>
        </w:tc>
        <w:tc>
          <w:tcPr>
            <w:tcW w:type="dxa" w:w="2400"/>
            <w:tcMar>
              <w:top w:type="dxa" w:w="60"/>
              <w:left w:type="dxa" w:w="100"/>
              <w:bottom w:type="dxa" w:w="60"/>
              <w:right w:type="dxa" w:w="100"/>
            </w:tcMar>
            <w:vAlign w:val="center"/>
          </w:tcPr>
          <w:p>
            <w:r>
              <w:rPr>
                <w:b w:val="false"/>
                <w:bCs w:val="false"/>
              </w:rPr>
              <w:t xml:space="preserve">0,798</w:t>
            </w:r>
          </w:p>
        </w:tc>
        <w:tc>
          <w:tcPr>
            <w:tcW w:type="dxa" w:w="2400"/>
            <w:tcMar>
              <w:top w:type="dxa" w:w="60"/>
              <w:left w:type="dxa" w:w="100"/>
              <w:bottom w:type="dxa" w:w="60"/>
              <w:right w:type="dxa" w:w="100"/>
            </w:tcMar>
            <w:vAlign w:val="center"/>
          </w:tcPr>
          <w:p>
            <w:r>
              <w:rPr>
                <w:b w:val="false"/>
                <w:bCs w:val="false"/>
              </w:rPr>
              <w:t xml:space="preserve">0,7012</w:t>
            </w:r>
          </w:p>
        </w:tc>
      </w:tr>
    </w:tbl>
    <w:p>
      <w:pPr>
        <w:spacing w:after="160"/>
      </w:pPr>
      <w:r>
        <w:t xml:space="preserve"/>
      </w:r>
    </w:p>
    <w:p>
      <w:pPr>
        <w:spacing w:after="160"/>
      </w:pPr>
      <w:r>
        <w:rPr>
          <w:b/>
          <w:bCs/>
        </w:rPr>
        <w:t xml:space="preserve">Model/konfigurasi yang dipilih dan alasannya: </w:t>
      </w:r>
      <w:r>
        <w:t xml:space="preserve">tetap baseline Hari 1 (Random Forest n_estimators=160, max_depth=10, min_samples_leaf=5, threshold default 0,5), bukan hasil GridSearchCV + threshold 0,3. Meskipun skor cross-validation keduanya sama-sama 0,798, baseline jauh lebih baik saat benar-benar diuji satu kali di data uji (macro F1 0,8951 vs 0,7012). Detail dan dugaan penyebabnya ada di Soal 3c. Ini konsisten dengan kesimpulan Hari 1: Random Forest belum mengungguli baseline aturan ambang, dan sekarang terbukti pula belum mengungguli konfigurasi Random Forest Hari 1 sendiri.</w:t>
      </w:r>
    </w:p>
    <w:p>
      <w:pPr>
        <w:pStyle w:val="Heading1"/>
        <w:spacing w:after="150" w:before="300"/>
      </w:pPr>
      <w:r>
        <w:t xml:space="preserve">Soal 3 – Keputusan dan Pemeriksaan</w:t>
      </w:r>
    </w:p>
    <w:p>
      <w:pPr>
        <w:pStyle w:val="Heading2"/>
        <w:spacing w:after="120" w:before="240"/>
      </w:pPr>
      <w:r>
        <w:t xml:space="preserve">a. Threshold dan pemeriksaan overfitting</w:t>
      </w:r>
    </w:p>
    <w:p>
      <w:pPr>
        <w:spacing w:after="160"/>
      </w:pPr>
      <w:r>
        <w:t xml:space="preserve">Threshold dicoba pada peluang cross-validated (5-fold) model hasil tuning, di data latih: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400"/>
        <w:gridCol w:w="2560"/>
      </w:tblGrid>
      <w:tr>
        <w:trPr>
          <w:tblHeader/>
        </w:trPr>
        <w:tc>
          <w:tcPr>
            <w:tcW w:type="dxa" w:w="2000"/>
            <w:shd w:fill="D9E2F3" w:color="auto" w:val="clear"/>
            <w:tcMar>
              <w:top w:type="dxa" w:w="60"/>
              <w:left w:type="dxa" w:w="100"/>
              <w:bottom w:type="dxa" w:w="60"/>
              <w:right w:type="dxa" w:w="100"/>
            </w:tcMar>
            <w:vAlign w:val="center"/>
          </w:tcPr>
          <w:p>
            <w:r>
              <w:rPr>
                <w:b/>
                <w:bCs/>
              </w:rPr>
              <w:t xml:space="preserve">Threshold</w:t>
            </w:r>
          </w:p>
        </w:tc>
        <w:tc>
          <w:tcPr>
            <w:tcW w:type="dxa" w:w="2400"/>
            <w:shd w:fill="D9E2F3" w:color="auto" w:val="clear"/>
            <w:tcMar>
              <w:top w:type="dxa" w:w="60"/>
              <w:left w:type="dxa" w:w="100"/>
              <w:bottom w:type="dxa" w:w="60"/>
              <w:right w:type="dxa" w:w="100"/>
            </w:tcMar>
            <w:vAlign w:val="center"/>
          </w:tcPr>
          <w:p>
            <w:r>
              <w:rPr>
                <w:b/>
                <w:bCs/>
              </w:rPr>
              <w:t xml:space="preserve">Precision alarm</w:t>
            </w:r>
          </w:p>
        </w:tc>
        <w:tc>
          <w:tcPr>
            <w:tcW w:type="dxa" w:w="2400"/>
            <w:shd w:fill="D9E2F3" w:color="auto" w:val="clear"/>
            <w:tcMar>
              <w:top w:type="dxa" w:w="60"/>
              <w:left w:type="dxa" w:w="100"/>
              <w:bottom w:type="dxa" w:w="60"/>
              <w:right w:type="dxa" w:w="100"/>
            </w:tcMar>
            <w:vAlign w:val="center"/>
          </w:tcPr>
          <w:p>
            <w:r>
              <w:rPr>
                <w:b/>
                <w:bCs/>
              </w:rPr>
              <w:t xml:space="preserve">Recall alarm</w:t>
            </w:r>
          </w:p>
        </w:tc>
        <w:tc>
          <w:tcPr>
            <w:tcW w:type="dxa" w:w="2560"/>
            <w:shd w:fill="D9E2F3" w:color="auto" w:val="clear"/>
            <w:tcMar>
              <w:top w:type="dxa" w:w="60"/>
              <w:left w:type="dxa" w:w="100"/>
              <w:bottom w:type="dxa" w:w="60"/>
              <w:right w:type="dxa" w:w="100"/>
            </w:tcMar>
            <w:vAlign w:val="center"/>
          </w:tcPr>
          <w:p>
            <w:r>
              <w:rPr>
                <w:b/>
                <w:bCs/>
              </w:rPr>
              <w:t xml:space="preserve">Macro F1</w:t>
            </w:r>
          </w:p>
        </w:tc>
      </w:tr>
      <w:tr>
        <w:tc>
          <w:tcPr>
            <w:tcW w:type="dxa" w:w="2000"/>
            <w:tcMar>
              <w:top w:type="dxa" w:w="60"/>
              <w:left w:type="dxa" w:w="100"/>
              <w:bottom w:type="dxa" w:w="60"/>
              <w:right w:type="dxa" w:w="100"/>
            </w:tcMar>
            <w:vAlign w:val="center"/>
          </w:tcPr>
          <w:p>
            <w:r>
              <w:rPr>
                <w:b w:val="false"/>
                <w:bCs w:val="false"/>
              </w:rPr>
              <w:t xml:space="preserve">0,3</w:t>
            </w:r>
          </w:p>
        </w:tc>
        <w:tc>
          <w:tcPr>
            <w:tcW w:type="dxa" w:w="2400"/>
            <w:tcMar>
              <w:top w:type="dxa" w:w="60"/>
              <w:left w:type="dxa" w:w="100"/>
              <w:bottom w:type="dxa" w:w="60"/>
              <w:right w:type="dxa" w:w="100"/>
            </w:tcMar>
            <w:vAlign w:val="center"/>
          </w:tcPr>
          <w:p>
            <w:r>
              <w:rPr>
                <w:b w:val="false"/>
                <w:bCs w:val="false"/>
              </w:rPr>
              <w:t xml:space="preserve">0,973</w:t>
            </w:r>
          </w:p>
        </w:tc>
        <w:tc>
          <w:tcPr>
            <w:tcW w:type="dxa" w:w="2400"/>
            <w:tcMar>
              <w:top w:type="dxa" w:w="60"/>
              <w:left w:type="dxa" w:w="100"/>
              <w:bottom w:type="dxa" w:w="60"/>
              <w:right w:type="dxa" w:w="100"/>
            </w:tcMar>
            <w:vAlign w:val="center"/>
          </w:tcPr>
          <w:p>
            <w:r>
              <w:rPr>
                <w:b w:val="false"/>
                <w:bCs w:val="false"/>
              </w:rPr>
              <w:t xml:space="preserve">0,968</w:t>
            </w:r>
          </w:p>
        </w:tc>
        <w:tc>
          <w:tcPr>
            <w:tcW w:type="dxa" w:w="2560"/>
            <w:tcMar>
              <w:top w:type="dxa" w:w="60"/>
              <w:left w:type="dxa" w:w="100"/>
              <w:bottom w:type="dxa" w:w="60"/>
              <w:right w:type="dxa" w:w="100"/>
            </w:tcMar>
            <w:vAlign w:val="center"/>
          </w:tcPr>
          <w:p>
            <w:r>
              <w:rPr>
                <w:b w:val="false"/>
                <w:bCs w:val="false"/>
              </w:rPr>
              <w:t xml:space="preserve">0,841</w:t>
            </w:r>
          </w:p>
        </w:tc>
      </w:tr>
      <w:tr>
        <w:tc>
          <w:tcPr>
            <w:tcW w:type="dxa" w:w="2000"/>
            <w:tcMar>
              <w:top w:type="dxa" w:w="60"/>
              <w:left w:type="dxa" w:w="100"/>
              <w:bottom w:type="dxa" w:w="60"/>
              <w:right w:type="dxa" w:w="100"/>
            </w:tcMar>
            <w:vAlign w:val="center"/>
          </w:tcPr>
          <w:p>
            <w:r>
              <w:rPr>
                <w:b w:val="false"/>
                <w:bCs w:val="false"/>
              </w:rPr>
              <w:t xml:space="preserve">0,4</w:t>
            </w:r>
          </w:p>
        </w:tc>
        <w:tc>
          <w:tcPr>
            <w:tcW w:type="dxa" w:w="2400"/>
            <w:tcMar>
              <w:top w:type="dxa" w:w="60"/>
              <w:left w:type="dxa" w:w="100"/>
              <w:bottom w:type="dxa" w:w="60"/>
              <w:right w:type="dxa" w:w="100"/>
            </w:tcMar>
            <w:vAlign w:val="center"/>
          </w:tcPr>
          <w:p>
            <w:r>
              <w:rPr>
                <w:b w:val="false"/>
                <w:bCs w:val="false"/>
              </w:rPr>
              <w:t xml:space="preserve">0,976</w:t>
            </w:r>
          </w:p>
        </w:tc>
        <w:tc>
          <w:tcPr>
            <w:tcW w:type="dxa" w:w="2400"/>
            <w:tcMar>
              <w:top w:type="dxa" w:w="60"/>
              <w:left w:type="dxa" w:w="100"/>
              <w:bottom w:type="dxa" w:w="60"/>
              <w:right w:type="dxa" w:w="100"/>
            </w:tcMar>
            <w:vAlign w:val="center"/>
          </w:tcPr>
          <w:p>
            <w:r>
              <w:rPr>
                <w:b w:val="false"/>
                <w:bCs w:val="false"/>
              </w:rPr>
              <w:t xml:space="preserve">0,960</w:t>
            </w:r>
          </w:p>
        </w:tc>
        <w:tc>
          <w:tcPr>
            <w:tcW w:type="dxa" w:w="2560"/>
            <w:tcMar>
              <w:top w:type="dxa" w:w="60"/>
              <w:left w:type="dxa" w:w="100"/>
              <w:bottom w:type="dxa" w:w="60"/>
              <w:right w:type="dxa" w:w="100"/>
            </w:tcMar>
            <w:vAlign w:val="center"/>
          </w:tcPr>
          <w:p>
            <w:r>
              <w:rPr>
                <w:b w:val="false"/>
                <w:bCs w:val="false"/>
              </w:rPr>
              <w:t xml:space="preserve">0,836</w:t>
            </w:r>
          </w:p>
        </w:tc>
      </w:tr>
      <w:tr>
        <w:tc>
          <w:tcPr>
            <w:tcW w:type="dxa" w:w="2000"/>
            <w:tcMar>
              <w:top w:type="dxa" w:w="60"/>
              <w:left w:type="dxa" w:w="100"/>
              <w:bottom w:type="dxa" w:w="60"/>
              <w:right w:type="dxa" w:w="100"/>
            </w:tcMar>
            <w:vAlign w:val="center"/>
          </w:tcPr>
          <w:p>
            <w:r>
              <w:rPr>
                <w:b w:val="false"/>
                <w:bCs w:val="false"/>
              </w:rPr>
              <w:t xml:space="preserve">0,5</w:t>
            </w:r>
          </w:p>
        </w:tc>
        <w:tc>
          <w:tcPr>
            <w:tcW w:type="dxa" w:w="2400"/>
            <w:tcMar>
              <w:top w:type="dxa" w:w="60"/>
              <w:left w:type="dxa" w:w="100"/>
              <w:bottom w:type="dxa" w:w="60"/>
              <w:right w:type="dxa" w:w="100"/>
            </w:tcMar>
            <w:vAlign w:val="center"/>
          </w:tcPr>
          <w:p>
            <w:r>
              <w:rPr>
                <w:b w:val="false"/>
                <w:bCs w:val="false"/>
              </w:rPr>
              <w:t xml:space="preserve">0,980</w:t>
            </w:r>
          </w:p>
        </w:tc>
        <w:tc>
          <w:tcPr>
            <w:tcW w:type="dxa" w:w="2400"/>
            <w:tcMar>
              <w:top w:type="dxa" w:w="60"/>
              <w:left w:type="dxa" w:w="100"/>
              <w:bottom w:type="dxa" w:w="60"/>
              <w:right w:type="dxa" w:w="100"/>
            </w:tcMar>
            <w:vAlign w:val="center"/>
          </w:tcPr>
          <w:p>
            <w:r>
              <w:rPr>
                <w:b w:val="false"/>
                <w:bCs w:val="false"/>
              </w:rPr>
              <w:t xml:space="preserve">0,938</w:t>
            </w:r>
          </w:p>
        </w:tc>
        <w:tc>
          <w:tcPr>
            <w:tcW w:type="dxa" w:w="2560"/>
            <w:tcMar>
              <w:top w:type="dxa" w:w="60"/>
              <w:left w:type="dxa" w:w="100"/>
              <w:bottom w:type="dxa" w:w="60"/>
              <w:right w:type="dxa" w:w="100"/>
            </w:tcMar>
            <w:vAlign w:val="center"/>
          </w:tcPr>
          <w:p>
            <w:r>
              <w:rPr>
                <w:b w:val="false"/>
                <w:bCs w:val="false"/>
              </w:rPr>
              <w:t xml:space="preserve">0,812</w:t>
            </w:r>
          </w:p>
        </w:tc>
      </w:tr>
      <w:tr>
        <w:tc>
          <w:tcPr>
            <w:tcW w:type="dxa" w:w="2000"/>
            <w:tcMar>
              <w:top w:type="dxa" w:w="60"/>
              <w:left w:type="dxa" w:w="100"/>
              <w:bottom w:type="dxa" w:w="60"/>
              <w:right w:type="dxa" w:w="100"/>
            </w:tcMar>
            <w:vAlign w:val="center"/>
          </w:tcPr>
          <w:p>
            <w:r>
              <w:rPr>
                <w:b w:val="false"/>
                <w:bCs w:val="false"/>
              </w:rPr>
              <w:t xml:space="preserve">0,6</w:t>
            </w:r>
          </w:p>
        </w:tc>
        <w:tc>
          <w:tcPr>
            <w:tcW w:type="dxa" w:w="2400"/>
            <w:tcMar>
              <w:top w:type="dxa" w:w="60"/>
              <w:left w:type="dxa" w:w="100"/>
              <w:bottom w:type="dxa" w:w="60"/>
              <w:right w:type="dxa" w:w="100"/>
            </w:tcMar>
            <w:vAlign w:val="center"/>
          </w:tcPr>
          <w:p>
            <w:r>
              <w:rPr>
                <w:b w:val="false"/>
                <w:bCs w:val="false"/>
              </w:rPr>
              <w:t xml:space="preserve">0,983</w:t>
            </w:r>
          </w:p>
        </w:tc>
        <w:tc>
          <w:tcPr>
            <w:tcW w:type="dxa" w:w="2400"/>
            <w:tcMar>
              <w:top w:type="dxa" w:w="60"/>
              <w:left w:type="dxa" w:w="100"/>
              <w:bottom w:type="dxa" w:w="60"/>
              <w:right w:type="dxa" w:w="100"/>
            </w:tcMar>
            <w:vAlign w:val="center"/>
          </w:tcPr>
          <w:p>
            <w:r>
              <w:rPr>
                <w:b w:val="false"/>
                <w:bCs w:val="false"/>
              </w:rPr>
              <w:t xml:space="preserve">0,933</w:t>
            </w:r>
          </w:p>
        </w:tc>
        <w:tc>
          <w:tcPr>
            <w:tcW w:type="dxa" w:w="2560"/>
            <w:tcMar>
              <w:top w:type="dxa" w:w="60"/>
              <w:left w:type="dxa" w:w="100"/>
              <w:bottom w:type="dxa" w:w="60"/>
              <w:right w:type="dxa" w:w="100"/>
            </w:tcMar>
            <w:vAlign w:val="center"/>
          </w:tcPr>
          <w:p>
            <w:r>
              <w:rPr>
                <w:b w:val="false"/>
                <w:bCs w:val="false"/>
              </w:rPr>
              <w:t xml:space="preserve">0,811</w:t>
            </w:r>
          </w:p>
        </w:tc>
      </w:tr>
      <w:tr>
        <w:tc>
          <w:tcPr>
            <w:tcW w:type="dxa" w:w="2000"/>
            <w:tcMar>
              <w:top w:type="dxa" w:w="60"/>
              <w:left w:type="dxa" w:w="100"/>
              <w:bottom w:type="dxa" w:w="60"/>
              <w:right w:type="dxa" w:w="100"/>
            </w:tcMar>
            <w:vAlign w:val="center"/>
          </w:tcPr>
          <w:p>
            <w:r>
              <w:rPr>
                <w:b w:val="false"/>
                <w:bCs w:val="false"/>
              </w:rPr>
              <w:t xml:space="preserve">0,7</w:t>
            </w:r>
          </w:p>
        </w:tc>
        <w:tc>
          <w:tcPr>
            <w:tcW w:type="dxa" w:w="2400"/>
            <w:tcMar>
              <w:top w:type="dxa" w:w="60"/>
              <w:left w:type="dxa" w:w="100"/>
              <w:bottom w:type="dxa" w:w="60"/>
              <w:right w:type="dxa" w:w="100"/>
            </w:tcMar>
            <w:vAlign w:val="center"/>
          </w:tcPr>
          <w:p>
            <w:r>
              <w:rPr>
                <w:b w:val="false"/>
                <w:bCs w:val="false"/>
              </w:rPr>
              <w:t xml:space="preserve">0,985</w:t>
            </w:r>
          </w:p>
        </w:tc>
        <w:tc>
          <w:tcPr>
            <w:tcW w:type="dxa" w:w="2400"/>
            <w:tcMar>
              <w:top w:type="dxa" w:w="60"/>
              <w:left w:type="dxa" w:w="100"/>
              <w:bottom w:type="dxa" w:w="60"/>
              <w:right w:type="dxa" w:w="100"/>
            </w:tcMar>
            <w:vAlign w:val="center"/>
          </w:tcPr>
          <w:p>
            <w:r>
              <w:rPr>
                <w:b w:val="false"/>
                <w:bCs w:val="false"/>
              </w:rPr>
              <w:t xml:space="preserve">0,920</w:t>
            </w:r>
          </w:p>
        </w:tc>
        <w:tc>
          <w:tcPr>
            <w:tcW w:type="dxa" w:w="2560"/>
            <w:tcMar>
              <w:top w:type="dxa" w:w="60"/>
              <w:left w:type="dxa" w:w="100"/>
              <w:bottom w:type="dxa" w:w="60"/>
              <w:right w:type="dxa" w:w="100"/>
            </w:tcMar>
            <w:vAlign w:val="center"/>
          </w:tcPr>
          <w:p>
            <w:r>
              <w:rPr>
                <w:b w:val="false"/>
                <w:bCs w:val="false"/>
              </w:rPr>
              <w:t xml:space="preserve">0,798</w:t>
            </w:r>
          </w:p>
        </w:tc>
      </w:tr>
      <w:tr>
        <w:tc>
          <w:tcPr>
            <w:tcW w:type="dxa" w:w="2000"/>
            <w:tcMar>
              <w:top w:type="dxa" w:w="60"/>
              <w:left w:type="dxa" w:w="100"/>
              <w:bottom w:type="dxa" w:w="60"/>
              <w:right w:type="dxa" w:w="100"/>
            </w:tcMar>
            <w:vAlign w:val="center"/>
          </w:tcPr>
          <w:p>
            <w:r>
              <w:rPr>
                <w:b w:val="false"/>
                <w:bCs w:val="false"/>
              </w:rPr>
              <w:t xml:space="preserve">0,8</w:t>
            </w:r>
          </w:p>
        </w:tc>
        <w:tc>
          <w:tcPr>
            <w:tcW w:type="dxa" w:w="2400"/>
            <w:tcMar>
              <w:top w:type="dxa" w:w="60"/>
              <w:left w:type="dxa" w:w="100"/>
              <w:bottom w:type="dxa" w:w="60"/>
              <w:right w:type="dxa" w:w="100"/>
            </w:tcMar>
            <w:vAlign w:val="center"/>
          </w:tcPr>
          <w:p>
            <w:r>
              <w:rPr>
                <w:b w:val="false"/>
                <w:bCs w:val="false"/>
              </w:rPr>
              <w:t xml:space="preserve">0,987</w:t>
            </w:r>
          </w:p>
        </w:tc>
        <w:tc>
          <w:tcPr>
            <w:tcW w:type="dxa" w:w="2400"/>
            <w:tcMar>
              <w:top w:type="dxa" w:w="60"/>
              <w:left w:type="dxa" w:w="100"/>
              <w:bottom w:type="dxa" w:w="60"/>
              <w:right w:type="dxa" w:w="100"/>
            </w:tcMar>
            <w:vAlign w:val="center"/>
          </w:tcPr>
          <w:p>
            <w:r>
              <w:rPr>
                <w:b w:val="false"/>
                <w:bCs w:val="false"/>
              </w:rPr>
              <w:t xml:space="preserve">0,795</w:t>
            </w:r>
          </w:p>
        </w:tc>
        <w:tc>
          <w:tcPr>
            <w:tcW w:type="dxa" w:w="2560"/>
            <w:tcMar>
              <w:top w:type="dxa" w:w="60"/>
              <w:left w:type="dxa" w:w="100"/>
              <w:bottom w:type="dxa" w:w="60"/>
              <w:right w:type="dxa" w:w="100"/>
            </w:tcMar>
            <w:vAlign w:val="center"/>
          </w:tcPr>
          <w:p>
            <w:r>
              <w:rPr>
                <w:b w:val="false"/>
                <w:bCs w:val="false"/>
              </w:rPr>
              <w:t xml:space="preserve">0,667</w:t>
            </w:r>
          </w:p>
        </w:tc>
      </w:tr>
      <w:tr>
        <w:tc>
          <w:tcPr>
            <w:tcW w:type="dxa" w:w="2000"/>
            <w:tcMar>
              <w:top w:type="dxa" w:w="60"/>
              <w:left w:type="dxa" w:w="100"/>
              <w:bottom w:type="dxa" w:w="60"/>
              <w:right w:type="dxa" w:w="100"/>
            </w:tcMar>
            <w:vAlign w:val="center"/>
          </w:tcPr>
          <w:p>
            <w:r>
              <w:rPr>
                <w:b w:val="false"/>
                <w:bCs w:val="false"/>
              </w:rPr>
              <w:t xml:space="preserve">0,9</w:t>
            </w:r>
          </w:p>
        </w:tc>
        <w:tc>
          <w:tcPr>
            <w:tcW w:type="dxa" w:w="2400"/>
            <w:tcMar>
              <w:top w:type="dxa" w:w="60"/>
              <w:left w:type="dxa" w:w="100"/>
              <w:bottom w:type="dxa" w:w="60"/>
              <w:right w:type="dxa" w:w="100"/>
            </w:tcMar>
            <w:vAlign w:val="center"/>
          </w:tcPr>
          <w:p>
            <w:r>
              <w:rPr>
                <w:b w:val="false"/>
                <w:bCs w:val="false"/>
              </w:rPr>
              <w:t xml:space="preserve">0,999</w:t>
            </w:r>
          </w:p>
        </w:tc>
        <w:tc>
          <w:tcPr>
            <w:tcW w:type="dxa" w:w="2400"/>
            <w:tcMar>
              <w:top w:type="dxa" w:w="60"/>
              <w:left w:type="dxa" w:w="100"/>
              <w:bottom w:type="dxa" w:w="60"/>
              <w:right w:type="dxa" w:w="100"/>
            </w:tcMar>
            <w:vAlign w:val="center"/>
          </w:tcPr>
          <w:p>
            <w:r>
              <w:rPr>
                <w:b w:val="false"/>
                <w:bCs w:val="false"/>
              </w:rPr>
              <w:t xml:space="preserve">0,747</w:t>
            </w:r>
          </w:p>
        </w:tc>
        <w:tc>
          <w:tcPr>
            <w:tcW w:type="dxa" w:w="2560"/>
            <w:tcMar>
              <w:top w:type="dxa" w:w="60"/>
              <w:left w:type="dxa" w:w="100"/>
              <w:bottom w:type="dxa" w:w="60"/>
              <w:right w:type="dxa" w:w="100"/>
            </w:tcMar>
            <w:vAlign w:val="center"/>
          </w:tcPr>
          <w:p>
            <w:r>
              <w:rPr>
                <w:b w:val="false"/>
                <w:bCs w:val="false"/>
              </w:rPr>
              <w:t xml:space="preserve">0,646</w:t>
            </w:r>
          </w:p>
        </w:tc>
      </w:tr>
    </w:tbl>
    <w:p>
      <w:pPr>
        <w:spacing w:after="160"/>
      </w:pPr>
      <w:r>
        <w:t xml:space="preserve">Threshold 0,3 memberi macro F1 tertinggi di data latih, sehingga dipilih untuk uji akhir (lihat Soal 3c untuk apa yang terjadi di data uji).</w:t>
      </w:r>
    </w:p>
    <w:p>
      <w:pPr>
        <w:jc w:val="center"/>
      </w:pPr>
      <w:r>
        <w:drawing>
          <wp:inline distT="0" distB="0" distL="0" distR="0">
            <wp:extent cx="5303520" cy="35356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03520" cy="3535680"/>
                    </a:xfrm>
                    <a:prstGeom prst="rect">
                      <a:avLst/>
                    </a:prstGeom>
                  </pic:spPr>
                </pic:pic>
              </a:graphicData>
            </a:graphic>
          </wp:inline>
        </w:drawing>
      </w:r>
    </w:p>
    <w:p>
      <w:pPr>
        <w:spacing w:after="200"/>
        <w:jc w:val="center"/>
      </w:pPr>
      <w:r>
        <w:rPr>
          <w:i/>
          <w:iCs/>
          <w:sz w:val="20"/>
          <w:szCs w:val="20"/>
        </w:rPr>
        <w:t xml:space="preserve">Gambar 2. Skor Macro F1 Decision Tree pada data latih vs validasi (5-fold CV) di berbagai max_depth.</w:t>
      </w:r>
    </w:p>
    <w:p>
      <w:pPr>
        <w:spacing w:after="160"/>
      </w:pPr>
      <w:r>
        <w:t xml:space="preserve">Skor latih naik terus mendekati 1 saat max_depth membesar, sedangkan skor validasi memuncak di kedalaman menengah (sekitar 3) lalu melandai/menurun — pola overfitting seperti dijelaskan pada Dasar Teori modul. Ini menjadi salah satu alasan memilih max_depth terbatas (6–10), bukan pohon tanpa batas, pada Random Forest.</w:t>
      </w:r>
    </w:p>
    <w:p>
      <w:pPr>
        <w:pStyle w:val="Heading2"/>
        <w:spacing w:after="120" w:before="240"/>
      </w:pPr>
      <w:r>
        <w:t xml:space="preserve">c. Tiga contoh kesalahan model/sistem dan dugaan penyebabnya</w:t>
      </w:r>
    </w:p>
    <w:p>
      <w:pPr>
        <w:spacing w:after="160"/>
      </w:pPr>
      <w:r>
        <w:rPr>
          <w:b/>
          <w:bCs/>
        </w:rPr>
        <w:t xml:space="preserve">1. Model hasil tuning tampak lebih baik di cross-validation tetapi lebih buruk di data uji. </w:t>
      </w:r>
      <w:r>
        <w:t xml:space="preserve">Macro F1 CV keduanya sama (0,798), tetapi di data uji baseline Hari 1 mencapai macro F1 0,8951 sedangkan hasil tuning + threshold 0,3 hanya 0,7012 — balanced accuracy bahkan turun dari 0,9155 ke 0,6553. Dugaan penyebab: data ini adalah deret waktu dari satu kolam, dan Hari 1 sudah mencatat simpangan CV yang sangat tinggi (0,7981 ± 0,2053) dengan satu fold yang hanya berisi satu kelas. Kombinasi max_depth lebih dangkal (6) dan threshold lebih rendah (0,3) kemungkinan cocok dengan pola pada sebagian periode data latih tetapi tidak berlaku lagi pada periode data uji (pergeseran kondisi/drift sensor antar waktu), bukan generalisasi yang sesungguhnya.</w:t>
      </w:r>
    </w:p>
    <w:p>
      <w:pPr>
        <w:spacing w:after="160"/>
      </w:pPr>
      <w:r>
        <w:rPr>
          <w:b/>
          <w:bCs/>
        </w:rPr>
        <w:t xml:space="preserve">2. Threshold rendah menaikkan recall alarm tetapi menenggelamkan kelas minoritas. </w:t>
      </w:r>
      <w:r>
        <w:t xml:space="preserve">Pada threshold 0,3, recall alarm di data uji mencapai 0,985 (lebih tinggi dari baseline 0,966), tetapi balanced accuracy anjlok ke 0,655. Dugaan penyebab: karena kelas "di luar ambang" adalah mayoritas (~91%), menurunkan threshold membuat model semakin sering menjawab "alarm", sehingga banyak kejadian "dalam ambang" yang sebenarnya justru ikut tertebak alarm (false alarm naik) — kebalikan dari kasus triase pada modul (di sana alarm/Urgent minoritas), sehingga intuisi "threshold rendah selalu menaikkan kualitas skrining" tidak otomatis berlaku di sini.</w:t>
      </w:r>
    </w:p>
    <w:p>
      <w:pPr>
        <w:spacing w:after="160"/>
      </w:pPr>
      <w:r>
        <w:rPr>
          <w:b/>
          <w:bCs/>
        </w:rPr>
        <w:t xml:space="preserve">3. GridSearchCV memilih max_depth=6 yang lebih dangkal dari baseline Hari 1 (max_depth=10), padahal kurva overfitting menunjukkan skor validasi Decision Tree relatif stabil pada kedalaman menengah maupun lebih dalam. </w:t>
      </w:r>
      <w:r>
        <w:t xml:space="preserve">Dugaan penyebab: scoring GridSearchCV memilih rata-rata macro F1 tertinggi lintas 5 fold, tetapi dengan simpangan antar-fold sebesar itu, kombinasi yang menang belum tentu benar-benar lebih baik secara umum — ada risiko memilih kombinasi yang kebetulan cocok dengan fold tertentu, mirip peringatan Dasar Teori modul poin f: "jika selisih dua model lebih kecil daripada simpangannya, keduanya sebenarnya setara."</w:t>
      </w:r>
    </w:p>
    <w:p>
      <w:pPr>
        <w:jc w:val="center"/>
      </w:pPr>
      <w:r>
        <w:drawing>
          <wp:inline distT="0" distB="0" distL="0" distR="0">
            <wp:extent cx="5303520" cy="39776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03520" cy="3977640"/>
                    </a:xfrm>
                    <a:prstGeom prst="rect">
                      <a:avLst/>
                    </a:prstGeom>
                  </pic:spPr>
                </pic:pic>
              </a:graphicData>
            </a:graphic>
          </wp:inline>
        </w:drawing>
      </w:r>
    </w:p>
    <w:p>
      <w:pPr>
        <w:spacing w:after="200"/>
        <w:jc w:val="center"/>
      </w:pPr>
      <w:r>
        <w:rPr>
          <w:i/>
          <w:iCs/>
          <w:sz w:val="20"/>
          <w:szCs w:val="20"/>
        </w:rPr>
        <w:t xml:space="preserve">Gambar 3. Confusion matrix model hasil tuning + threshold 0,3 pada data uji, menunjukkan naiknya false positive kelas "Dalam ambang" dibanding Gambar 1.</w:t>
      </w:r>
    </w:p>
    <w:p>
      <w:pPr>
        <w:pStyle w:val="Heading2"/>
        <w:spacing w:after="120" w:before="240"/>
      </w:pPr>
      <w:r>
        <w:t xml:space="preserve">Kesimpulan</w:t>
      </w:r>
    </w:p>
    <w:p>
      <w:pPr>
        <w:spacing w:after="160"/>
      </w:pPr>
      <w:r>
        <w:t xml:space="preserve">Baseline Random Forest Hari 1 tetap menjadi konfigurasi yang direkomendasikan. Tuning hyperparameter dan pemilihan threshold pada data latih di sini terbukti tidak otomatis meningkatkan performa pada data uji, dan itu dilaporkan apa adanya, bukan diganti dengan hasil yang terlihat lebih baik.</w:t>
      </w:r>
    </w:p>
    <w:p>
      <w:pPr>
        <w:pStyle w:val="Heading2"/>
        <w:spacing w:after="120" w:before="240"/>
      </w:pPr>
      <w:r>
        <w:t xml:space="preserve">Batasan</w:t>
      </w:r>
    </w:p>
    <w:p>
      <w:pPr>
        <w:spacing w:after="160"/>
      </w:pPr>
      <w:r>
        <w:t xml:space="preserve">Hasil ini adalah status proksi ambang sensor pada satu kolam/satu sumber data, bukan bukti keamanan air, bukan label ahli, dan bukan bukti aktuasi perangkat fisik. Lihat README repo bagian Status untuk batasan proyek AquaSmart secara umum.</w:t>
      </w:r>
    </w:p>
    <w:p>
      <w:pPr>
        <w:pStyle w:val="Heading2"/>
        <w:spacing w:after="120" w:before="240"/>
      </w:pPr>
      <w:r>
        <w:t xml:space="preserve">Kontribusi kedua anggota</w:t>
      </w:r>
    </w:p>
    <w:p>
      <w:pPr>
        <w:spacing w:after="160"/>
      </w:pPr>
      <w:r>
        <w:t xml:space="preserve">Modul mewajibkan kedua anggota melakukan commit. Syarat ini belum diklaim selesai pada pengerjaan ini dan tidak dipalsukan identitas penulis; Alpin dan Dimas perlu meninjau pekerjaan, membagi perubahan yang benar-benar mereka tinjau/kerjakan, lalu melakukan commit masing-masing menggunakan akun Git sendiri.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95d19994a856798bdac3039b030b412ac004d98.png"/><Relationship Id="rId8" Type="http://schemas.openxmlformats.org/officeDocument/2006/relationships/image" Target="media/18ff0665b8fb57d0687c88a343005b3557545faa.png"/><Relationship Id="rId9" Type="http://schemas.openxmlformats.org/officeDocument/2006/relationships/image" Target="media/7e57da3986c3deb73d96df8cd358be711dc439c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2026-09-27T06:04:20.641Z</dcterms:created>
  <dcterms:modified xsi:type="dcterms:W3CDTF">2026-09-27T06:04:20.641Z</dcterms:modified>
</cp:coreProperties>
</file>

<file path=docProps/custom.xml><?xml version="1.0" encoding="utf-8"?>
<Properties xmlns="http://schemas.openxmlformats.org/officeDocument/2006/custom-properties" xmlns:vt="http://schemas.openxmlformats.org/officeDocument/2006/docPropsVTypes"/>
</file>