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after="40"/>
      </w:pPr>
      <w:r>
        <w:rPr>
          <w:b/>
          <w:i w:val="0"/>
          <w:color w:val="1A1A1A"/>
          <w:sz w:val="36"/>
        </w:rPr>
        <w:t>Solum Invest GmbH</w:t>
      </w:r>
    </w:p>
    <w:p>
      <w:pPr>
        <w:spacing w:after="240"/>
      </w:pPr>
      <w:r>
        <w:rPr>
          <w:b w:val="0"/>
          <w:i w:val="0"/>
          <w:color w:val="999999"/>
          <w:sz w:val="16"/>
        </w:rPr>
        <w:t>Augasse 4, 6111 Volders</w:t>
      </w:r>
    </w:p>
    <w:p>
      <w:pPr>
        <w:spacing w:after="120"/>
      </w:pPr>
      <w:r>
        <w:rPr>
          <w:b w:val="0"/>
          <w:i w:val="0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02"/>
        <w:gridCol w:w="3969"/>
      </w:tblGrid>
      <w:tr>
        <w:tc>
          <w:tcPr>
            <w:tcW w:type="dxa" w:w="4703"/>
          </w:tcPr>
          <w:p>
            <w:pPr>
              <w:spacing w:after="40" w:before="20"/>
            </w:pPr>
            <w:r/>
            <w:r>
              <w:rPr>
                <w:b w:val="0"/>
                <w:color w:val="666666"/>
                <w:sz w:val="16"/>
              </w:rPr>
              <w:t>An:</w:t>
            </w:r>
          </w:p>
        </w:tc>
        <w:tc>
          <w:tcPr>
            <w:tcW w:type="dxa" w:w="4703"/>
          </w:tcPr>
          <w:p>
            <w:pPr>
              <w:spacing w:after="40" w:before="20"/>
            </w:pPr>
            <w:r/>
            <w:r>
              <w:rPr>
                <w:b/>
                <w:color w:val="1A1A1A"/>
                <w:sz w:val="21"/>
              </w:rPr>
              <w:t>Rechnung Nr. 07/2026</w:t>
            </w:r>
          </w:p>
        </w:tc>
      </w:tr>
      <w:tr>
        <w:tc>
          <w:tcPr>
            <w:tcW w:type="dxa" w:w="4703"/>
          </w:tcPr>
          <w:p>
            <w:pPr>
              <w:spacing w:after="40" w:before="20"/>
            </w:pPr>
            <w:r/>
            <w:r>
              <w:rPr>
                <w:b/>
                <w:sz w:val="18"/>
              </w:rPr>
              <w:t>Time to Jump Dolomites</w:t>
            </w:r>
          </w:p>
        </w:tc>
        <w:tc>
          <w:tcPr>
            <w:tcW w:type="dxa" w:w="4703"/>
          </w:tcPr>
          <w:p>
            <w:pPr>
              <w:spacing w:after="40" w:before="20"/>
            </w:pPr>
            <w:r/>
            <w:r>
              <w:rPr>
                <w:b w:val="0"/>
                <w:color w:val="666666"/>
                <w:sz w:val="16"/>
              </w:rPr>
              <w:t>Datum: 28. April 2026</w:t>
            </w:r>
          </w:p>
        </w:tc>
      </w:tr>
      <w:tr>
        <w:tc>
          <w:tcPr>
            <w:tcW w:type="dxa" w:w="4703"/>
          </w:tcPr>
          <w:p>
            <w:pPr>
              <w:spacing w:after="40" w:before="20"/>
            </w:pPr>
            <w:r/>
            <w:r>
              <w:rPr>
                <w:b w:val="0"/>
                <w:color w:val="555555"/>
                <w:sz w:val="18"/>
              </w:rPr>
              <w:t>David Prato</w:t>
            </w:r>
          </w:p>
        </w:tc>
        <w:tc>
          <w:tcPr>
            <w:tcW w:type="dxa" w:w="4703"/>
          </w:tcPr>
          <w:p>
            <w:pPr>
              <w:spacing w:after="40" w:before="20"/>
            </w:pPr>
            <w:r/>
            <w:r>
              <w:rPr>
                <w:b/>
                <w:color w:val="2E7D32"/>
                <w:sz w:val="16"/>
              </w:rPr>
              <w:t>Zahlungsstatus: Bezahlt</w:t>
            </w:r>
          </w:p>
        </w:tc>
      </w:tr>
      <w:tr>
        <w:tc>
          <w:tcPr>
            <w:tcW w:type="dxa" w:w="4703"/>
          </w:tcPr>
          <w:p>
            <w:pPr>
              <w:spacing w:after="40" w:before="20"/>
            </w:pPr>
            <w:r/>
            <w:r>
              <w:rPr>
                <w:b w:val="0"/>
                <w:color w:val="666666"/>
                <w:sz w:val="16"/>
              </w:rPr>
              <w:t>info@timetojumpdolomites.com</w:t>
            </w:r>
          </w:p>
        </w:tc>
        <w:tc>
          <w:tcPr>
            <w:tcW w:type="dxa" w:w="4703"/>
          </w:tcPr>
          <w:p>
            <w:pPr>
              <w:spacing w:after="40" w:before="2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703"/>
          </w:tcPr>
          <w:p>
            <w:pPr>
              <w:spacing w:after="40" w:before="20"/>
            </w:pPr>
            <w:r/>
            <w:r>
              <w:rPr>
                <w:b w:val="0"/>
                <w:color w:val="666666"/>
                <w:sz w:val="16"/>
              </w:rPr>
              <w:t>UID: IT03113270213</w:t>
            </w:r>
          </w:p>
        </w:tc>
        <w:tc>
          <w:tcPr>
            <w:tcW w:type="dxa" w:w="4703"/>
          </w:tcPr>
          <w:p>
            <w:pPr>
              <w:spacing w:after="40" w:before="20"/>
            </w:pPr>
            <w:r/>
            <w:r>
              <w:rPr>
                <w:b w:val="0"/>
                <w:sz w:val="16"/>
              </w:rPr>
            </w:r>
          </w:p>
        </w:tc>
      </w:tr>
    </w:tbl>
    <w:p>
      <w:pPr>
        <w:spacing w:after="40" w:before="280"/>
        <w:jc w:val="left"/>
      </w:pPr>
      <w:r>
        <w:rPr>
          <w:b/>
          <w:i w:val="0"/>
          <w:color w:val="1A1A1A"/>
          <w:sz w:val="40"/>
        </w:rPr>
        <w:t>RECHNUNG</w:t>
      </w:r>
    </w:p>
    <w:p>
      <w:pPr>
        <w:spacing w:after="120"/>
      </w:pPr>
      <w:r>
        <w:rPr>
          <w:b w:val="0"/>
          <w:i w:val="0"/>
          <w:color w:val="888888"/>
          <w:sz w:val="16"/>
        </w:rPr>
        <w:t>Teilrechnung 1  ·  Projekt: Website Relaunch TimeToJump Dolomites</w:t>
      </w:r>
    </w:p>
    <w:p>
      <w:pPr>
        <w:spacing w:after="160"/>
      </w:pPr>
      <w:r>
        <w:rPr>
          <w:b w:val="0"/>
          <w:i w:val="0"/>
          <w:color w:val="888888"/>
          <w:sz w:val="16"/>
        </w:rPr>
        <w:t>Referenz: Angebot Nr. 02/2026 vom 15. März 2026  ·  Gesamtauftragswert: EUR 2.000,–</w:t>
      </w:r>
    </w:p>
    <w:p>
      <w:pPr>
        <w:spacing w:after="120"/>
      </w:pPr>
      <w:r>
        <w:rPr>
          <w:b w:val="0"/>
          <w:i w:val="0"/>
        </w:rPr>
      </w:r>
      <w:r>
        <w:rPr>
          <w:b/>
          <w:i w:val="0"/>
          <w:sz w:val="18"/>
        </w:rPr>
        <w:t>Sehr geehrter Herr Prato,</w:t>
      </w:r>
    </w:p>
    <w:p>
      <w:pPr>
        <w:spacing w:after="120"/>
      </w:pPr>
      <w:r>
        <w:rPr>
          <w:b w:val="0"/>
          <w:i w:val="0"/>
        </w:rPr>
      </w:r>
      <w:r>
        <w:rPr>
          <w:b w:val="0"/>
          <w:i w:val="0"/>
          <w:color w:val="555555"/>
          <w:sz w:val="18"/>
        </w:rPr>
        <w:t>hiermit stellen wir Ihnen die erste Teilrechnung für die im Rahmen des Angebots Nr. 02/2026 sowie der telefonischen Vereinbarung vom 27.04.2026 erbrachten und beauftragten Leistungen.</w:t>
      </w:r>
    </w:p>
    <w:p>
      <w:pPr>
        <w:spacing w:after="80" w:before="160"/>
      </w:pPr>
      <w:r>
        <w:rPr>
          <w:b/>
          <w:i w:val="0"/>
          <w:color w:val="000000"/>
          <w:sz w:val="24"/>
        </w:rPr>
        <w:t>Leistungsübersicht</w:t>
      </w:r>
    </w:p>
    <w:p>
      <w:pPr>
        <w:spacing w:after="60" w:before="80"/>
      </w:pPr>
      <w:r>
        <w:rPr>
          <w:b/>
          <w:i w:val="0"/>
          <w:color w:val="444444"/>
          <w:sz w:val="18"/>
        </w:rPr>
        <w:t>Angebot Nr. 02/2026 – Website Relaunch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680"/>
        <w:gridCol w:w="6520"/>
        <w:gridCol w:w="1871"/>
      </w:tblGrid>
      <w:tr>
        <w:tc>
          <w:tcPr>
            <w:tcW w:type="dxa" w:w="3135"/>
            <w:shd w:fill="F2F2F2"/>
          </w:tcPr>
          <w:p>
            <w:pPr>
              <w:spacing w:after="40" w:before="20"/>
            </w:pPr>
            <w:r/>
            <w:r>
              <w:rPr>
                <w:b/>
                <w:color w:val="444444"/>
                <w:sz w:val="14"/>
              </w:rPr>
              <w:t>Pos.</w:t>
            </w:r>
          </w:p>
        </w:tc>
        <w:tc>
          <w:tcPr>
            <w:tcW w:type="dxa" w:w="3135"/>
            <w:shd w:fill="F2F2F2"/>
          </w:tcPr>
          <w:p>
            <w:pPr>
              <w:spacing w:after="40" w:before="20"/>
            </w:pPr>
            <w:r/>
            <w:r>
              <w:rPr>
                <w:b/>
                <w:color w:val="444444"/>
                <w:sz w:val="14"/>
              </w:rPr>
              <w:t>Beschreibung</w:t>
            </w:r>
          </w:p>
        </w:tc>
        <w:tc>
          <w:tcPr>
            <w:tcW w:type="dxa" w:w="3135"/>
            <w:shd w:fill="F2F2F2"/>
          </w:tcPr>
          <w:p>
            <w:pPr>
              <w:spacing w:after="40" w:before="20"/>
              <w:jc w:val="right"/>
            </w:pPr>
            <w:r/>
            <w:r>
              <w:rPr>
                <w:b/>
                <w:color w:val="444444"/>
                <w:sz w:val="14"/>
              </w:rPr>
              <w:t>Status</w:t>
            </w:r>
          </w:p>
        </w:tc>
      </w:tr>
      <w:tr>
        <w:tc>
          <w:tcPr>
            <w:tcW w:type="dxa" w:w="680"/>
          </w:tcPr>
          <w:p>
            <w:pPr>
              <w:spacing w:after="40" w:before="20"/>
            </w:pPr>
            <w:r/>
            <w:r>
              <w:rPr>
                <w:b/>
                <w:color w:val="555555"/>
                <w:sz w:val="16"/>
              </w:rPr>
              <w:t>1</w:t>
            </w:r>
          </w:p>
        </w:tc>
        <w:tc>
          <w:tcPr>
            <w:tcW w:type="dxa" w:w="6520"/>
          </w:tcPr>
          <w:p>
            <w:pPr>
              <w:spacing w:after="40" w:before="20"/>
            </w:pPr>
            <w:r/>
            <w:r>
              <w:rPr>
                <w:b/>
                <w:color w:val="555555"/>
                <w:sz w:val="14"/>
              </w:rPr>
              <w:t>Vollständige Landingpage – 12 Sektionen, responsiv</w:t>
            </w:r>
            <w:r>
              <w:rPr>
                <w:sz w:val="14"/>
              </w:rPr>
              <w:br/>
            </w:r>
            <w:r>
              <w:rPr>
                <w:color w:val="555555"/>
                <w:sz w:val="14"/>
              </w:rPr>
              <w:t>Hero, About, What to Expect, Pricing, Testimonials, FAQ,</w:t>
            </w:r>
            <w:r>
              <w:rPr>
                <w:sz w:val="14"/>
              </w:rPr>
              <w:br/>
            </w:r>
            <w:r>
              <w:rPr>
                <w:color w:val="555555"/>
                <w:sz w:val="14"/>
              </w:rPr>
              <w:t>Anforderungen, Google Maps, Footer mit Social-Media-Links</w:t>
            </w:r>
          </w:p>
        </w:tc>
        <w:tc>
          <w:tcPr>
            <w:tcW w:type="dxa" w:w="1871"/>
          </w:tcPr>
          <w:p>
            <w:pPr>
              <w:spacing w:after="40" w:before="20"/>
              <w:jc w:val="right"/>
            </w:pPr>
            <w:r/>
            <w:r>
              <w:rPr>
                <w:b w:val="0"/>
                <w:color w:val="2E7D32"/>
                <w:sz w:val="14"/>
              </w:rPr>
              <w:t>Fertig</w:t>
            </w:r>
          </w:p>
        </w:tc>
      </w:tr>
      <w:tr>
        <w:tc>
          <w:tcPr>
            <w:tcW w:type="dxa" w:w="680"/>
          </w:tcPr>
          <w:p>
            <w:pPr>
              <w:spacing w:after="40" w:before="20"/>
            </w:pPr>
            <w:r/>
            <w:r>
              <w:rPr>
                <w:b/>
                <w:color w:val="555555"/>
                <w:sz w:val="16"/>
              </w:rPr>
              <w:t>2</w:t>
            </w:r>
          </w:p>
        </w:tc>
        <w:tc>
          <w:tcPr>
            <w:tcW w:type="dxa" w:w="6520"/>
          </w:tcPr>
          <w:p>
            <w:pPr>
              <w:spacing w:after="40" w:before="20"/>
            </w:pPr>
            <w:r/>
            <w:r>
              <w:rPr>
                <w:b/>
                <w:color w:val="555555"/>
                <w:sz w:val="14"/>
              </w:rPr>
              <w:t>Mehrsprachigkeit – 9 Sprachen mit LocalStorage</w:t>
            </w:r>
            <w:r>
              <w:rPr>
                <w:sz w:val="14"/>
              </w:rPr>
              <w:br/>
            </w:r>
            <w:r>
              <w:rPr>
                <w:color w:val="555555"/>
                <w:sz w:val="14"/>
              </w:rPr>
              <w:t>EN, DE, IT, LAD, NL, FR, PL, ES, CS</w:t>
            </w:r>
          </w:p>
        </w:tc>
        <w:tc>
          <w:tcPr>
            <w:tcW w:type="dxa" w:w="1871"/>
          </w:tcPr>
          <w:p>
            <w:pPr>
              <w:spacing w:after="40" w:before="20"/>
              <w:jc w:val="right"/>
            </w:pPr>
            <w:r/>
            <w:r>
              <w:rPr>
                <w:b w:val="0"/>
                <w:color w:val="2E7D32"/>
                <w:sz w:val="14"/>
              </w:rPr>
              <w:t>Fertig</w:t>
            </w:r>
          </w:p>
        </w:tc>
      </w:tr>
      <w:tr>
        <w:tc>
          <w:tcPr>
            <w:tcW w:type="dxa" w:w="680"/>
          </w:tcPr>
          <w:p>
            <w:pPr>
              <w:spacing w:after="40" w:before="20"/>
            </w:pPr>
            <w:r/>
            <w:r>
              <w:rPr>
                <w:b/>
                <w:color w:val="555555"/>
                <w:sz w:val="16"/>
              </w:rPr>
              <w:t>3</w:t>
            </w:r>
          </w:p>
        </w:tc>
        <w:tc>
          <w:tcPr>
            <w:tcW w:type="dxa" w:w="6520"/>
          </w:tcPr>
          <w:p>
            <w:pPr>
              <w:spacing w:after="40" w:before="20"/>
            </w:pPr>
            <w:r/>
            <w:r>
              <w:rPr>
                <w:b/>
                <w:color w:val="555555"/>
                <w:sz w:val="14"/>
              </w:rPr>
              <w:t>Kontaktformular mit E-Mail-Versand</w:t>
            </w:r>
            <w:r>
              <w:rPr>
                <w:sz w:val="14"/>
              </w:rPr>
              <w:br/>
            </w:r>
            <w:r>
              <w:rPr>
                <w:color w:val="555555"/>
                <w:sz w:val="14"/>
              </w:rPr>
              <w:t>FormSubmit.co, CAPTCHA + Honeypot, Fehlerbehandlung</w:t>
            </w:r>
          </w:p>
        </w:tc>
        <w:tc>
          <w:tcPr>
            <w:tcW w:type="dxa" w:w="1871"/>
          </w:tcPr>
          <w:p>
            <w:pPr>
              <w:spacing w:after="40" w:before="20"/>
              <w:jc w:val="right"/>
            </w:pPr>
            <w:r/>
            <w:r>
              <w:rPr>
                <w:b w:val="0"/>
                <w:color w:val="2E7D32"/>
                <w:sz w:val="14"/>
              </w:rPr>
              <w:t>Fertig</w:t>
            </w:r>
          </w:p>
        </w:tc>
      </w:tr>
      <w:tr>
        <w:tc>
          <w:tcPr>
            <w:tcW w:type="dxa" w:w="680"/>
          </w:tcPr>
          <w:p>
            <w:pPr>
              <w:spacing w:after="40" w:before="20"/>
            </w:pPr>
            <w:r/>
            <w:r>
              <w:rPr>
                <w:b/>
                <w:color w:val="555555"/>
                <w:sz w:val="16"/>
              </w:rPr>
              <w:t>4</w:t>
            </w:r>
          </w:p>
        </w:tc>
        <w:tc>
          <w:tcPr>
            <w:tcW w:type="dxa" w:w="6520"/>
          </w:tcPr>
          <w:p>
            <w:pPr>
              <w:spacing w:after="40" w:before="20"/>
            </w:pPr>
            <w:r/>
            <w:r>
              <w:rPr>
                <w:b/>
                <w:color w:val="555555"/>
                <w:sz w:val="14"/>
              </w:rPr>
              <w:t>WhatsApp / E-Mail / Telefon – schwebendes Chat-Widget</w:t>
            </w:r>
            <w:r>
              <w:rPr>
                <w:sz w:val="14"/>
              </w:rPr>
              <w:br/>
            </w:r>
            <w:r>
              <w:rPr>
                <w:color w:val="555555"/>
                <w:sz w:val="14"/>
              </w:rPr>
              <w:t>Direktlinks, sichtbar auf allen Endgeräten</w:t>
            </w:r>
          </w:p>
        </w:tc>
        <w:tc>
          <w:tcPr>
            <w:tcW w:type="dxa" w:w="1871"/>
          </w:tcPr>
          <w:p>
            <w:pPr>
              <w:spacing w:after="40" w:before="20"/>
              <w:jc w:val="right"/>
            </w:pPr>
            <w:r/>
            <w:r>
              <w:rPr>
                <w:b w:val="0"/>
                <w:color w:val="2E7D32"/>
                <w:sz w:val="14"/>
              </w:rPr>
              <w:t>Fertig</w:t>
            </w:r>
          </w:p>
        </w:tc>
      </w:tr>
      <w:tr>
        <w:tc>
          <w:tcPr>
            <w:tcW w:type="dxa" w:w="680"/>
          </w:tcPr>
          <w:p>
            <w:pPr>
              <w:spacing w:after="40" w:before="20"/>
            </w:pPr>
            <w:r/>
            <w:r>
              <w:rPr>
                <w:b/>
                <w:color w:val="555555"/>
                <w:sz w:val="16"/>
              </w:rPr>
              <w:t>5</w:t>
            </w:r>
          </w:p>
        </w:tc>
        <w:tc>
          <w:tcPr>
            <w:tcW w:type="dxa" w:w="6520"/>
          </w:tcPr>
          <w:p>
            <w:pPr>
              <w:spacing w:after="40" w:before="20"/>
            </w:pPr>
            <w:r/>
            <w:r>
              <w:rPr>
                <w:b/>
                <w:color w:val="555555"/>
                <w:sz w:val="14"/>
              </w:rPr>
              <w:t>Sicherheit &amp; SEO-Grundstruktur</w:t>
            </w:r>
            <w:r>
              <w:rPr>
                <w:sz w:val="14"/>
              </w:rPr>
              <w:br/>
            </w:r>
            <w:r>
              <w:rPr>
                <w:color w:val="555555"/>
                <w:sz w:val="14"/>
              </w:rPr>
              <w:t>Security Headers (CSP), SSL/HTTPS, Meta-Tags, Open Graph,</w:t>
            </w:r>
            <w:r>
              <w:rPr>
                <w:sz w:val="14"/>
              </w:rPr>
              <w:br/>
            </w:r>
            <w:r>
              <w:rPr>
                <w:color w:val="555555"/>
                <w:sz w:val="14"/>
              </w:rPr>
              <w:t>semantisches HTML5, Ladezeit &lt; 1s</w:t>
            </w:r>
          </w:p>
        </w:tc>
        <w:tc>
          <w:tcPr>
            <w:tcW w:type="dxa" w:w="1871"/>
          </w:tcPr>
          <w:p>
            <w:pPr>
              <w:spacing w:after="40" w:before="20"/>
              <w:jc w:val="right"/>
            </w:pPr>
            <w:r/>
            <w:r>
              <w:rPr>
                <w:b w:val="0"/>
                <w:color w:val="2E7D32"/>
                <w:sz w:val="14"/>
              </w:rPr>
              <w:t>Fertig</w:t>
            </w:r>
          </w:p>
        </w:tc>
      </w:tr>
      <w:tr>
        <w:tc>
          <w:tcPr>
            <w:tcW w:type="dxa" w:w="680"/>
          </w:tcPr>
          <w:p>
            <w:pPr>
              <w:spacing w:after="40" w:before="20"/>
            </w:pPr>
            <w:r/>
            <w:r>
              <w:rPr>
                <w:b/>
                <w:color w:val="555555"/>
                <w:sz w:val="16"/>
              </w:rPr>
              <w:t>6</w:t>
            </w:r>
          </w:p>
        </w:tc>
        <w:tc>
          <w:tcPr>
            <w:tcW w:type="dxa" w:w="6520"/>
          </w:tcPr>
          <w:p>
            <w:pPr>
              <w:spacing w:after="40" w:before="20"/>
            </w:pPr>
            <w:r/>
            <w:r>
              <w:rPr>
                <w:b/>
                <w:color w:val="555555"/>
                <w:sz w:val="14"/>
              </w:rPr>
              <w:t>Datenschutzseite (privacy.html)</w:t>
            </w:r>
          </w:p>
        </w:tc>
        <w:tc>
          <w:tcPr>
            <w:tcW w:type="dxa" w:w="1871"/>
          </w:tcPr>
          <w:p>
            <w:pPr>
              <w:spacing w:after="40" w:before="20"/>
              <w:jc w:val="right"/>
            </w:pPr>
            <w:r/>
            <w:r>
              <w:rPr>
                <w:b w:val="0"/>
                <w:color w:val="2E7D32"/>
                <w:sz w:val="14"/>
              </w:rPr>
              <w:t>Fertig</w:t>
            </w:r>
          </w:p>
        </w:tc>
      </w:tr>
      <w:tr>
        <w:tc>
          <w:tcPr>
            <w:tcW w:type="dxa" w:w="680"/>
          </w:tcPr>
          <w:p>
            <w:pPr>
              <w:spacing w:after="40" w:before="20"/>
            </w:pPr>
            <w:r/>
            <w:r>
              <w:rPr>
                <w:b/>
                <w:color w:val="555555"/>
                <w:sz w:val="16"/>
              </w:rPr>
              <w:t>7</w:t>
            </w:r>
          </w:p>
        </w:tc>
        <w:tc>
          <w:tcPr>
            <w:tcW w:type="dxa" w:w="6520"/>
          </w:tcPr>
          <w:p>
            <w:pPr>
              <w:spacing w:after="40" w:before="20"/>
            </w:pPr>
            <w:r/>
            <w:r>
              <w:rPr>
                <w:b/>
                <w:color w:val="555555"/>
                <w:sz w:val="14"/>
              </w:rPr>
              <w:t>Feedback-Schleifen vor Go-Live (&gt; 2 absolviert)</w:t>
            </w:r>
          </w:p>
        </w:tc>
        <w:tc>
          <w:tcPr>
            <w:tcW w:type="dxa" w:w="1871"/>
          </w:tcPr>
          <w:p>
            <w:pPr>
              <w:spacing w:after="40" w:before="20"/>
              <w:jc w:val="right"/>
            </w:pPr>
            <w:r/>
            <w:r>
              <w:rPr>
                <w:b w:val="0"/>
                <w:color w:val="2E7D32"/>
                <w:sz w:val="14"/>
              </w:rPr>
              <w:t>Fertig</w:t>
            </w:r>
          </w:p>
        </w:tc>
      </w:tr>
    </w:tbl>
    <w:p>
      <w:pPr>
        <w:spacing w:after="60" w:before="160"/>
      </w:pPr>
      <w:r>
        <w:rPr>
          <w:b/>
          <w:i w:val="0"/>
          <w:color w:val="444444"/>
          <w:sz w:val="18"/>
        </w:rPr>
        <w:t>Telefonische Absprache vom 27.04.2026 – Erweiterungen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680"/>
        <w:gridCol w:w="6520"/>
        <w:gridCol w:w="1871"/>
      </w:tblGrid>
      <w:tr>
        <w:tc>
          <w:tcPr>
            <w:tcW w:type="dxa" w:w="3135"/>
            <w:shd w:fill="F2F2F2"/>
          </w:tcPr>
          <w:p>
            <w:pPr>
              <w:spacing w:after="40" w:before="20"/>
            </w:pPr>
            <w:r/>
            <w:r>
              <w:rPr>
                <w:b/>
                <w:color w:val="444444"/>
                <w:sz w:val="14"/>
              </w:rPr>
              <w:t>Pos.</w:t>
            </w:r>
          </w:p>
        </w:tc>
        <w:tc>
          <w:tcPr>
            <w:tcW w:type="dxa" w:w="3135"/>
            <w:shd w:fill="F2F2F2"/>
          </w:tcPr>
          <w:p>
            <w:pPr>
              <w:spacing w:after="40" w:before="20"/>
            </w:pPr>
            <w:r/>
            <w:r>
              <w:rPr>
                <w:b/>
                <w:color w:val="444444"/>
                <w:sz w:val="14"/>
              </w:rPr>
              <w:t>Beschreibung</w:t>
            </w:r>
          </w:p>
        </w:tc>
        <w:tc>
          <w:tcPr>
            <w:tcW w:type="dxa" w:w="3135"/>
            <w:shd w:fill="F2F2F2"/>
          </w:tcPr>
          <w:p>
            <w:pPr>
              <w:spacing w:after="40" w:before="20"/>
              <w:jc w:val="right"/>
            </w:pPr>
            <w:r/>
            <w:r>
              <w:rPr>
                <w:b/>
                <w:color w:val="444444"/>
                <w:sz w:val="14"/>
              </w:rPr>
              <w:t>Status</w:t>
            </w:r>
          </w:p>
        </w:tc>
      </w:tr>
      <w:tr>
        <w:tc>
          <w:tcPr>
            <w:tcW w:type="dxa" w:w="680"/>
          </w:tcPr>
          <w:p>
            <w:pPr>
              <w:spacing w:after="40" w:before="20"/>
            </w:pPr>
            <w:r/>
            <w:r>
              <w:rPr>
                <w:b/>
                <w:color w:val="555555"/>
                <w:sz w:val="16"/>
              </w:rPr>
              <w:t>8</w:t>
            </w:r>
          </w:p>
        </w:tc>
        <w:tc>
          <w:tcPr>
            <w:tcW w:type="dxa" w:w="6520"/>
          </w:tcPr>
          <w:p>
            <w:pPr>
              <w:spacing w:after="40" w:before="20"/>
            </w:pPr>
            <w:r/>
            <w:r>
              <w:rPr>
                <w:b/>
                <w:color w:val="555555"/>
                <w:sz w:val="14"/>
              </w:rPr>
              <w:t>Supabase-Backend mit PostgreSQL-Datenbank</w:t>
            </w:r>
            <w:r>
              <w:rPr>
                <w:sz w:val="14"/>
              </w:rPr>
              <w:br/>
            </w:r>
            <w:r>
              <w:rPr>
                <w:color w:val="555555"/>
                <w:sz w:val="14"/>
              </w:rPr>
              <w:t>Event- &amp; Buchungstabellen, Row Level Security, Edge Functions</w:t>
            </w:r>
          </w:p>
        </w:tc>
        <w:tc>
          <w:tcPr>
            <w:tcW w:type="dxa" w:w="1871"/>
          </w:tcPr>
          <w:p>
            <w:pPr>
              <w:spacing w:after="40" w:before="20"/>
              <w:jc w:val="right"/>
            </w:pPr>
            <w:r/>
            <w:r>
              <w:rPr>
                <w:b w:val="0"/>
                <w:color w:val="E68A00"/>
                <w:sz w:val="14"/>
              </w:rPr>
              <w:t>In Bearbeitung</w:t>
            </w:r>
          </w:p>
        </w:tc>
      </w:tr>
      <w:tr>
        <w:tc>
          <w:tcPr>
            <w:tcW w:type="dxa" w:w="680"/>
          </w:tcPr>
          <w:p>
            <w:pPr>
              <w:spacing w:after="40" w:before="20"/>
            </w:pPr>
            <w:r/>
            <w:r>
              <w:rPr>
                <w:b/>
                <w:color w:val="555555"/>
                <w:sz w:val="16"/>
              </w:rPr>
              <w:t>9</w:t>
            </w:r>
          </w:p>
        </w:tc>
        <w:tc>
          <w:tcPr>
            <w:tcW w:type="dxa" w:w="6520"/>
          </w:tcPr>
          <w:p>
            <w:pPr>
              <w:spacing w:after="40" w:before="20"/>
            </w:pPr>
            <w:r/>
            <w:r>
              <w:rPr>
                <w:b/>
                <w:color w:val="555555"/>
                <w:sz w:val="14"/>
              </w:rPr>
              <w:t>Booking Engine &amp; dynamische Flight Cards</w:t>
            </w:r>
            <w:r>
              <w:rPr>
                <w:sz w:val="14"/>
              </w:rPr>
              <w:br/>
            </w:r>
            <w:r>
              <w:rPr>
                <w:color w:val="555555"/>
                <w:sz w:val="14"/>
              </w:rPr>
              <w:t>Live-Verfügbarkeit, sequenzielle Load-Logik, Nickname-Pills</w:t>
            </w:r>
          </w:p>
        </w:tc>
        <w:tc>
          <w:tcPr>
            <w:tcW w:type="dxa" w:w="1871"/>
          </w:tcPr>
          <w:p>
            <w:pPr>
              <w:spacing w:after="40" w:before="20"/>
              <w:jc w:val="right"/>
            </w:pPr>
            <w:r/>
            <w:r>
              <w:rPr>
                <w:b w:val="0"/>
                <w:color w:val="E68A00"/>
                <w:sz w:val="14"/>
              </w:rPr>
              <w:t>In Bearbeitung</w:t>
            </w:r>
          </w:p>
        </w:tc>
      </w:tr>
      <w:tr>
        <w:tc>
          <w:tcPr>
            <w:tcW w:type="dxa" w:w="680"/>
          </w:tcPr>
          <w:p>
            <w:pPr>
              <w:spacing w:after="40" w:before="20"/>
            </w:pPr>
            <w:r/>
            <w:r>
              <w:rPr>
                <w:b/>
                <w:color w:val="555555"/>
                <w:sz w:val="16"/>
              </w:rPr>
              <w:t>10</w:t>
            </w:r>
          </w:p>
        </w:tc>
        <w:tc>
          <w:tcPr>
            <w:tcW w:type="dxa" w:w="6520"/>
          </w:tcPr>
          <w:p>
            <w:pPr>
              <w:spacing w:after="40" w:before="20"/>
            </w:pPr>
            <w:r/>
            <w:r>
              <w:rPr>
                <w:b/>
                <w:color w:val="555555"/>
                <w:sz w:val="14"/>
              </w:rPr>
              <w:t>Dynamisches Gruppenpricing</w:t>
            </w:r>
            <w:r>
              <w:rPr>
                <w:sz w:val="14"/>
              </w:rPr>
              <w:br/>
            </w:r>
            <w:r>
              <w:rPr>
                <w:color w:val="555555"/>
                <w:sz w:val="14"/>
              </w:rPr>
              <w:t>Preis pro Person sinkt mit jedem weiteren Springer</w:t>
            </w:r>
          </w:p>
        </w:tc>
        <w:tc>
          <w:tcPr>
            <w:tcW w:type="dxa" w:w="1871"/>
          </w:tcPr>
          <w:p>
            <w:pPr>
              <w:spacing w:after="40" w:before="20"/>
              <w:jc w:val="right"/>
            </w:pPr>
            <w:r/>
            <w:r>
              <w:rPr>
                <w:b w:val="0"/>
                <w:color w:val="E68A00"/>
                <w:sz w:val="14"/>
              </w:rPr>
              <w:t>In Bearbeitung</w:t>
            </w:r>
          </w:p>
        </w:tc>
      </w:tr>
      <w:tr>
        <w:tc>
          <w:tcPr>
            <w:tcW w:type="dxa" w:w="680"/>
          </w:tcPr>
          <w:p>
            <w:pPr>
              <w:spacing w:after="40" w:before="20"/>
            </w:pPr>
            <w:r/>
            <w:r>
              <w:rPr>
                <w:b/>
                <w:color w:val="555555"/>
                <w:sz w:val="16"/>
              </w:rPr>
              <w:t>11</w:t>
            </w:r>
          </w:p>
        </w:tc>
        <w:tc>
          <w:tcPr>
            <w:tcW w:type="dxa" w:w="6520"/>
          </w:tcPr>
          <w:p>
            <w:pPr>
              <w:spacing w:after="40" w:before="20"/>
            </w:pPr>
            <w:r/>
            <w:r>
              <w:rPr>
                <w:b/>
                <w:color w:val="555555"/>
                <w:sz w:val="14"/>
              </w:rPr>
              <w:t>Buchungsformular (Booking Modal)</w:t>
            </w:r>
            <w:r>
              <w:rPr>
                <w:sz w:val="14"/>
              </w:rPr>
              <w:br/>
            </w:r>
            <w:r>
              <w:rPr>
                <w:color w:val="555555"/>
                <w:sz w:val="14"/>
              </w:rPr>
              <w:t>Alle Pflichtfelder, Glassmorphism-Design, 9 Sprachen</w:t>
            </w:r>
          </w:p>
        </w:tc>
        <w:tc>
          <w:tcPr>
            <w:tcW w:type="dxa" w:w="1871"/>
          </w:tcPr>
          <w:p>
            <w:pPr>
              <w:spacing w:after="40" w:before="20"/>
              <w:jc w:val="right"/>
            </w:pPr>
            <w:r/>
            <w:r>
              <w:rPr>
                <w:b w:val="0"/>
                <w:color w:val="E68A00"/>
                <w:sz w:val="14"/>
              </w:rPr>
              <w:t>In Bearbeitung</w:t>
            </w:r>
          </w:p>
        </w:tc>
      </w:tr>
      <w:tr>
        <w:tc>
          <w:tcPr>
            <w:tcW w:type="dxa" w:w="680"/>
          </w:tcPr>
          <w:p>
            <w:pPr>
              <w:spacing w:after="40" w:before="20"/>
            </w:pPr>
            <w:r/>
            <w:r>
              <w:rPr>
                <w:b/>
                <w:color w:val="555555"/>
                <w:sz w:val="16"/>
              </w:rPr>
              <w:t>12</w:t>
            </w:r>
          </w:p>
        </w:tc>
        <w:tc>
          <w:tcPr>
            <w:tcW w:type="dxa" w:w="6520"/>
          </w:tcPr>
          <w:p>
            <w:pPr>
              <w:spacing w:after="40" w:before="20"/>
            </w:pPr>
            <w:r/>
            <w:r>
              <w:rPr>
                <w:b/>
                <w:color w:val="555555"/>
                <w:sz w:val="14"/>
              </w:rPr>
              <w:t>Stripe-Integration (Kreditkarten-Hold)</w:t>
            </w:r>
            <w:r>
              <w:rPr>
                <w:sz w:val="14"/>
              </w:rPr>
              <w:br/>
            </w:r>
            <w:r>
              <w:rPr>
                <w:color w:val="555555"/>
                <w:sz w:val="14"/>
              </w:rPr>
              <w:t>SetupIntent, 0€ Card Hold, Strafeinzug bei Stornierung</w:t>
            </w:r>
          </w:p>
        </w:tc>
        <w:tc>
          <w:tcPr>
            <w:tcW w:type="dxa" w:w="1871"/>
          </w:tcPr>
          <w:p>
            <w:pPr>
              <w:spacing w:after="40" w:before="20"/>
              <w:jc w:val="right"/>
            </w:pPr>
            <w:r/>
            <w:r>
              <w:rPr>
                <w:b w:val="0"/>
                <w:color w:val="E68A00"/>
                <w:sz w:val="14"/>
              </w:rPr>
              <w:t>In Bearbeitung</w:t>
            </w:r>
          </w:p>
        </w:tc>
      </w:tr>
      <w:tr>
        <w:tc>
          <w:tcPr>
            <w:tcW w:type="dxa" w:w="680"/>
          </w:tcPr>
          <w:p>
            <w:pPr>
              <w:spacing w:after="40" w:before="20"/>
            </w:pPr>
            <w:r/>
            <w:r>
              <w:rPr>
                <w:b/>
                <w:color w:val="555555"/>
                <w:sz w:val="16"/>
              </w:rPr>
              <w:t>13</w:t>
            </w:r>
          </w:p>
        </w:tc>
        <w:tc>
          <w:tcPr>
            <w:tcW w:type="dxa" w:w="6520"/>
          </w:tcPr>
          <w:p>
            <w:pPr>
              <w:spacing w:after="40" w:before="20"/>
            </w:pPr>
            <w:r/>
            <w:r>
              <w:rPr>
                <w:b/>
                <w:color w:val="555555"/>
                <w:sz w:val="14"/>
              </w:rPr>
              <w:t>AGB &amp; Rechtstexte</w:t>
            </w:r>
            <w:r>
              <w:rPr>
                <w:sz w:val="14"/>
              </w:rPr>
              <w:br/>
            </w:r>
            <w:r>
              <w:rPr>
                <w:color w:val="555555"/>
                <w:sz w:val="14"/>
              </w:rPr>
              <w:t>Stornobedingungen, Briefing-Strafe, Zero Tolerance, Short-Notice</w:t>
            </w:r>
          </w:p>
        </w:tc>
        <w:tc>
          <w:tcPr>
            <w:tcW w:type="dxa" w:w="1871"/>
          </w:tcPr>
          <w:p>
            <w:pPr>
              <w:spacing w:after="40" w:before="20"/>
              <w:jc w:val="right"/>
            </w:pPr>
            <w:r/>
            <w:r>
              <w:rPr>
                <w:b w:val="0"/>
                <w:color w:val="E68A00"/>
                <w:sz w:val="14"/>
              </w:rPr>
              <w:t>In Bearbeitung</w:t>
            </w:r>
          </w:p>
        </w:tc>
      </w:tr>
      <w:tr>
        <w:tc>
          <w:tcPr>
            <w:tcW w:type="dxa" w:w="680"/>
          </w:tcPr>
          <w:p>
            <w:pPr>
              <w:spacing w:after="40" w:before="20"/>
            </w:pPr>
            <w:r/>
            <w:r>
              <w:rPr>
                <w:b/>
                <w:color w:val="555555"/>
                <w:sz w:val="16"/>
              </w:rPr>
              <w:t>14</w:t>
            </w:r>
          </w:p>
        </w:tc>
        <w:tc>
          <w:tcPr>
            <w:tcW w:type="dxa" w:w="6520"/>
          </w:tcPr>
          <w:p>
            <w:pPr>
              <w:spacing w:after="40" w:before="20"/>
            </w:pPr>
            <w:r/>
            <w:r>
              <w:rPr>
                <w:b/>
                <w:color w:val="555555"/>
                <w:sz w:val="14"/>
              </w:rPr>
              <w:t>Admin-Dashboard (admin.html)</w:t>
            </w:r>
            <w:r>
              <w:rPr>
                <w:sz w:val="14"/>
              </w:rPr>
              <w:br/>
            </w:r>
            <w:r>
              <w:rPr>
                <w:color w:val="555555"/>
                <w:sz w:val="14"/>
              </w:rPr>
              <w:t>Event-Verwaltung &amp; Buchungsübersicht</w:t>
            </w:r>
          </w:p>
        </w:tc>
        <w:tc>
          <w:tcPr>
            <w:tcW w:type="dxa" w:w="1871"/>
          </w:tcPr>
          <w:p>
            <w:pPr>
              <w:spacing w:after="40" w:before="20"/>
              <w:jc w:val="right"/>
            </w:pPr>
            <w:r/>
            <w:r>
              <w:rPr>
                <w:b w:val="0"/>
                <w:color w:val="E68A00"/>
                <w:sz w:val="14"/>
              </w:rPr>
              <w:t>In Bearbeitung</w:t>
            </w:r>
          </w:p>
        </w:tc>
      </w:tr>
      <w:tr>
        <w:tc>
          <w:tcPr>
            <w:tcW w:type="dxa" w:w="680"/>
          </w:tcPr>
          <w:p>
            <w:pPr>
              <w:spacing w:after="40" w:before="20"/>
            </w:pPr>
            <w:r/>
            <w:r>
              <w:rPr>
                <w:b/>
                <w:color w:val="555555"/>
                <w:sz w:val="16"/>
              </w:rPr>
              <w:t>15</w:t>
            </w:r>
          </w:p>
        </w:tc>
        <w:tc>
          <w:tcPr>
            <w:tcW w:type="dxa" w:w="6520"/>
          </w:tcPr>
          <w:p>
            <w:pPr>
              <w:spacing w:after="40" w:before="20"/>
            </w:pPr>
            <w:r/>
            <w:r>
              <w:rPr>
                <w:b/>
                <w:color w:val="555555"/>
                <w:sz w:val="14"/>
              </w:rPr>
              <w:t>Website-Optimierungen &amp; Content-Updates</w:t>
            </w:r>
            <w:r>
              <w:rPr>
                <w:sz w:val="14"/>
              </w:rPr>
              <w:br/>
            </w:r>
            <w:r>
              <w:rPr>
                <w:color w:val="555555"/>
                <w:sz w:val="14"/>
              </w:rPr>
              <w:t>Pricing, FAQ, Maps, Navigation, Elikos-Bereinigung</w:t>
            </w:r>
          </w:p>
        </w:tc>
        <w:tc>
          <w:tcPr>
            <w:tcW w:type="dxa" w:w="1871"/>
          </w:tcPr>
          <w:p>
            <w:pPr>
              <w:spacing w:after="40" w:before="20"/>
              <w:jc w:val="right"/>
            </w:pPr>
            <w:r/>
            <w:r>
              <w:rPr>
                <w:b w:val="0"/>
                <w:color w:val="E68A00"/>
                <w:sz w:val="14"/>
              </w:rPr>
              <w:t>In Bearbeitung</w:t>
            </w:r>
          </w:p>
        </w:tc>
      </w:tr>
      <w:tr>
        <w:tc>
          <w:tcPr>
            <w:tcW w:type="dxa" w:w="680"/>
          </w:tcPr>
          <w:p>
            <w:pPr>
              <w:spacing w:after="40" w:before="20"/>
            </w:pPr>
            <w:r/>
            <w:r>
              <w:rPr>
                <w:b/>
                <w:color w:val="555555"/>
                <w:sz w:val="16"/>
              </w:rPr>
              <w:t>16</w:t>
            </w:r>
          </w:p>
        </w:tc>
        <w:tc>
          <w:tcPr>
            <w:tcW w:type="dxa" w:w="6520"/>
          </w:tcPr>
          <w:p>
            <w:pPr>
              <w:spacing w:after="40" w:before="20"/>
            </w:pPr>
            <w:r/>
            <w:r>
              <w:rPr>
                <w:b/>
                <w:color w:val="555555"/>
                <w:sz w:val="14"/>
              </w:rPr>
              <w:t>Erfolgsseite (success.html)</w:t>
            </w:r>
            <w:r>
              <w:rPr>
                <w:sz w:val="14"/>
              </w:rPr>
              <w:br/>
            </w:r>
            <w:r>
              <w:rPr>
                <w:color w:val="555555"/>
                <w:sz w:val="14"/>
              </w:rPr>
              <w:t>WhatsApp-Gruppeneinladung nach erfolgreicher Buchung</w:t>
            </w:r>
          </w:p>
        </w:tc>
        <w:tc>
          <w:tcPr>
            <w:tcW w:type="dxa" w:w="1871"/>
          </w:tcPr>
          <w:p>
            <w:pPr>
              <w:spacing w:after="40" w:before="20"/>
              <w:jc w:val="right"/>
            </w:pPr>
            <w:r/>
            <w:r>
              <w:rPr>
                <w:b w:val="0"/>
                <w:color w:val="E68A00"/>
                <w:sz w:val="14"/>
              </w:rPr>
              <w:t>In Bearbeitung</w:t>
            </w:r>
          </w:p>
        </w:tc>
      </w:tr>
      <w:tr>
        <w:tc>
          <w:tcPr>
            <w:tcW w:type="dxa" w:w="680"/>
          </w:tcPr>
          <w:p>
            <w:pPr>
              <w:spacing w:after="40" w:before="20"/>
            </w:pPr>
            <w:r/>
            <w:r>
              <w:rPr>
                <w:b/>
                <w:color w:val="555555"/>
                <w:sz w:val="16"/>
              </w:rPr>
              <w:t>17</w:t>
            </w:r>
          </w:p>
        </w:tc>
        <w:tc>
          <w:tcPr>
            <w:tcW w:type="dxa" w:w="6520"/>
          </w:tcPr>
          <w:p>
            <w:pPr>
              <w:spacing w:after="40" w:before="20"/>
            </w:pPr>
            <w:r/>
            <w:r>
              <w:rPr>
                <w:b/>
                <w:color w:val="555555"/>
                <w:sz w:val="14"/>
              </w:rPr>
              <w:t>DNS-Migration &amp; Wix-Ablöse</w:t>
            </w:r>
            <w:r>
              <w:rPr>
                <w:sz w:val="14"/>
              </w:rPr>
              <w:br/>
            </w:r>
            <w:r>
              <w:rPr>
                <w:color w:val="555555"/>
                <w:sz w:val="14"/>
              </w:rPr>
              <w:t>Domain-Umzug auf Cloudflare Pages, SSL, Weiterleitungen</w:t>
            </w:r>
          </w:p>
        </w:tc>
        <w:tc>
          <w:tcPr>
            <w:tcW w:type="dxa" w:w="1871"/>
          </w:tcPr>
          <w:p>
            <w:pPr>
              <w:spacing w:after="40" w:before="20"/>
              <w:jc w:val="right"/>
            </w:pPr>
            <w:r/>
            <w:r>
              <w:rPr>
                <w:b w:val="0"/>
                <w:color w:val="E68A00"/>
                <w:sz w:val="14"/>
              </w:rPr>
              <w:t>In Bearbeitung</w:t>
            </w:r>
          </w:p>
        </w:tc>
      </w:tr>
      <w:tr>
        <w:tc>
          <w:tcPr>
            <w:tcW w:type="dxa" w:w="680"/>
          </w:tcPr>
          <w:p>
            <w:pPr>
              <w:spacing w:after="40" w:before="20"/>
            </w:pPr>
            <w:r/>
            <w:r>
              <w:rPr>
                <w:b/>
                <w:color w:val="555555"/>
                <w:sz w:val="16"/>
              </w:rPr>
              <w:t>18</w:t>
            </w:r>
          </w:p>
        </w:tc>
        <w:tc>
          <w:tcPr>
            <w:tcW w:type="dxa" w:w="6520"/>
          </w:tcPr>
          <w:p>
            <w:pPr>
              <w:spacing w:after="40" w:before="20"/>
            </w:pPr>
            <w:r/>
            <w:r>
              <w:rPr>
                <w:b/>
                <w:color w:val="555555"/>
                <w:sz w:val="14"/>
              </w:rPr>
              <w:t>Automatische Reminder-E-Mails</w:t>
            </w:r>
            <w:r>
              <w:rPr>
                <w:sz w:val="14"/>
              </w:rPr>
              <w:br/>
            </w:r>
            <w:r>
              <w:rPr>
                <w:color w:val="555555"/>
                <w:sz w:val="14"/>
              </w:rPr>
              <w:t>7 / 5 / 3 Tage vor Abflug, Gruppenbuchungsfunktion</w:t>
            </w:r>
          </w:p>
        </w:tc>
        <w:tc>
          <w:tcPr>
            <w:tcW w:type="dxa" w:w="1871"/>
          </w:tcPr>
          <w:p>
            <w:pPr>
              <w:spacing w:after="40" w:before="20"/>
              <w:jc w:val="right"/>
            </w:pPr>
            <w:r/>
            <w:r>
              <w:rPr>
                <w:b w:val="0"/>
                <w:color w:val="E68A00"/>
                <w:sz w:val="14"/>
              </w:rPr>
              <w:t>In Bearbeitung</w:t>
            </w:r>
          </w:p>
        </w:tc>
      </w:tr>
    </w:tbl>
    <w:p>
      <w:pPr>
        <w:spacing w:after="80" w:before="200"/>
      </w:pPr>
      <w:r>
        <w:rPr>
          <w:b/>
          <w:i w:val="0"/>
          <w:color w:val="000000"/>
          <w:sz w:val="24"/>
        </w:rPr>
        <w:t>Preisübersicht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6803"/>
        <w:gridCol w:w="2268"/>
      </w:tblGrid>
      <w:tr>
        <w:tc>
          <w:tcPr>
            <w:tcW w:type="dxa" w:w="4703"/>
          </w:tcPr>
          <w:p>
            <w:pPr>
              <w:spacing w:after="40" w:before="20"/>
            </w:pPr>
            <w:r/>
            <w:r>
              <w:rPr>
                <w:b w:val="0"/>
                <w:color w:val="555555"/>
                <w:sz w:val="18"/>
              </w:rPr>
              <w:t>Teilbetrag Positionen 1–7 (Angebot Nr. 02/2026)</w:t>
            </w:r>
          </w:p>
        </w:tc>
        <w:tc>
          <w:tcPr>
            <w:tcW w:type="dxa" w:w="4703"/>
          </w:tcPr>
          <w:p>
            <w:pPr>
              <w:spacing w:after="40" w:before="20"/>
              <w:jc w:val="right"/>
            </w:pPr>
            <w:r/>
            <w:r>
              <w:rPr>
                <w:b/>
                <w:sz w:val="18"/>
              </w:rPr>
              <w:t>EUR 600,–</w:t>
            </w:r>
          </w:p>
        </w:tc>
      </w:tr>
      <w:tr>
        <w:tc>
          <w:tcPr>
            <w:tcW w:type="dxa" w:w="4703"/>
          </w:tcPr>
          <w:p>
            <w:pPr>
              <w:spacing w:after="40" w:before="20"/>
            </w:pPr>
            <w:r/>
            <w:r>
              <w:rPr>
                <w:b w:val="0"/>
                <w:color w:val="666666"/>
                <w:sz w:val="16"/>
              </w:rPr>
              <w:t>Umsatzsteuer (Reverse Charge – Art. 196 MwSt-RL)</w:t>
            </w:r>
          </w:p>
        </w:tc>
        <w:tc>
          <w:tcPr>
            <w:tcW w:type="dxa" w:w="4703"/>
          </w:tcPr>
          <w:p>
            <w:pPr>
              <w:spacing w:after="40" w:before="20"/>
              <w:jc w:val="right"/>
            </w:pPr>
            <w:r/>
            <w:r>
              <w:rPr>
                <w:b w:val="0"/>
                <w:color w:val="666666"/>
                <w:sz w:val="16"/>
              </w:rPr>
              <w:t>0,00 EUR</w:t>
            </w:r>
          </w:p>
        </w:tc>
      </w:tr>
      <w:tr>
        <w:tc>
          <w:tcPr>
            <w:tcW w:type="dxa" w:w="4703"/>
          </w:tcPr>
          <w:p>
            <w:pPr>
              <w:spacing w:after="40" w:before="20"/>
            </w:pPr>
            <w:r/>
            <w:r>
              <w:rPr>
                <w:b w:val="0"/>
                <w:sz w:val="8"/>
              </w:rPr>
            </w:r>
          </w:p>
        </w:tc>
        <w:tc>
          <w:tcPr>
            <w:tcW w:type="dxa" w:w="4703"/>
          </w:tcPr>
          <w:p>
            <w:pPr>
              <w:spacing w:after="40" w:before="20"/>
            </w:pPr>
            <w:r/>
            <w:r>
              <w:rPr>
                <w:b w:val="0"/>
                <w:sz w:val="8"/>
              </w:rPr>
            </w:r>
          </w:p>
        </w:tc>
      </w:tr>
      <w:tr>
        <w:tc>
          <w:tcPr>
            <w:tcW w:type="dxa" w:w="4703"/>
            <w:shd w:fill="F2F2F2"/>
          </w:tcPr>
          <w:p>
            <w:pPr>
              <w:spacing w:after="40" w:before="20"/>
            </w:pPr>
            <w:r/>
            <w:r>
              <w:rPr>
                <w:b/>
                <w:color w:val="1A1A1A"/>
                <w:sz w:val="21"/>
              </w:rPr>
              <w:t>Rechnungsbetrag</w:t>
            </w:r>
          </w:p>
        </w:tc>
        <w:tc>
          <w:tcPr>
            <w:tcW w:type="dxa" w:w="4703"/>
            <w:shd w:fill="F2F2F2"/>
          </w:tcPr>
          <w:p>
            <w:pPr>
              <w:spacing w:after="40" w:before="20"/>
              <w:jc w:val="right"/>
            </w:pPr>
            <w:r/>
            <w:r>
              <w:rPr>
                <w:b/>
                <w:color w:val="1A1A1A"/>
                <w:sz w:val="21"/>
              </w:rPr>
              <w:t>EUR 600,–</w:t>
            </w:r>
          </w:p>
        </w:tc>
      </w:tr>
    </w:tbl>
    <w:p>
      <w:pPr>
        <w:spacing w:after="80" w:before="240"/>
      </w:pPr>
      <w:r>
        <w:rPr>
          <w:b/>
          <w:i w:val="0"/>
          <w:color w:val="444444"/>
          <w:sz w:val="20"/>
        </w:rPr>
        <w:t>Zahlungsstatus</w:t>
      </w:r>
    </w:p>
    <w:p>
      <w:pPr>
        <w:spacing w:after="80"/>
      </w:pPr>
      <w:r>
        <w:rPr>
          <w:b w:val="0"/>
          <w:i w:val="0"/>
        </w:rPr>
      </w:r>
      <w:r>
        <w:rPr>
          <w:b/>
          <w:i w:val="0"/>
          <w:color w:val="2E7D32"/>
          <w:sz w:val="18"/>
        </w:rPr>
        <w:t>Der Rechnungsbetrag von EUR 600,– wurde bereits vollständig beglichen.</w:t>
      </w:r>
    </w:p>
    <w:p>
      <w:pPr>
        <w:spacing w:after="80" w:before="160"/>
      </w:pPr>
      <w:r>
        <w:rPr>
          <w:b/>
          <w:i w:val="0"/>
          <w:color w:val="444444"/>
          <w:sz w:val="20"/>
        </w:rPr>
        <w:t>Offene Beträge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19"/>
        <w:gridCol w:w="2268"/>
        <w:gridCol w:w="1984"/>
      </w:tblGrid>
      <w:tr>
        <w:tc>
          <w:tcPr>
            <w:tcW w:type="dxa" w:w="3135"/>
          </w:tcPr>
          <w:p>
            <w:pPr>
              <w:spacing w:after="40" w:before="20"/>
            </w:pPr>
            <w:r/>
            <w:r>
              <w:rPr>
                <w:b w:val="0"/>
                <w:color w:val="555555"/>
                <w:sz w:val="16"/>
              </w:rPr>
              <w:t>Verbleibender offener Betrag Angebot Nr. 02/2026</w:t>
            </w:r>
          </w:p>
        </w:tc>
        <w:tc>
          <w:tcPr>
            <w:tcW w:type="dxa" w:w="3135"/>
          </w:tcPr>
          <w:p>
            <w:pPr>
              <w:spacing w:after="40" w:before="20"/>
              <w:jc w:val="right"/>
            </w:pPr>
            <w:r/>
            <w:r>
              <w:rPr>
                <w:b/>
                <w:sz w:val="16"/>
              </w:rPr>
              <w:t>EUR 300,–</w:t>
            </w:r>
          </w:p>
        </w:tc>
        <w:tc>
          <w:tcPr>
            <w:tcW w:type="dxa" w:w="3135"/>
          </w:tcPr>
          <w:p>
            <w:pPr>
              <w:spacing w:after="40" w:before="20"/>
              <w:jc w:val="right"/>
            </w:pPr>
            <w:r/>
            <w:r>
              <w:rPr>
                <w:b w:val="0"/>
                <w:color w:val="E68A00"/>
                <w:sz w:val="14"/>
              </w:rPr>
              <w:t>Fällig Ende Mai</w:t>
            </w:r>
          </w:p>
        </w:tc>
      </w:tr>
      <w:tr>
        <w:tc>
          <w:tcPr>
            <w:tcW w:type="dxa" w:w="3135"/>
          </w:tcPr>
          <w:p>
            <w:pPr>
              <w:spacing w:after="40" w:before="20"/>
            </w:pPr>
            <w:r/>
            <w:r>
              <w:rPr>
                <w:b w:val="0"/>
                <w:color w:val="555555"/>
                <w:sz w:val="16"/>
              </w:rPr>
              <w:t>Verbleibender offener Betrag aus</w:t>
              <w:br/>
              <w:t>telefonischer Absprache 27.04.2026</w:t>
            </w:r>
          </w:p>
        </w:tc>
        <w:tc>
          <w:tcPr>
            <w:tcW w:type="dxa" w:w="3135"/>
          </w:tcPr>
          <w:p>
            <w:pPr>
              <w:spacing w:after="40" w:before="20"/>
              <w:jc w:val="right"/>
            </w:pPr>
            <w:r/>
            <w:r>
              <w:rPr>
                <w:b/>
                <w:sz w:val="16"/>
              </w:rPr>
              <w:t>EUR 1.100,–</w:t>
            </w:r>
          </w:p>
        </w:tc>
        <w:tc>
          <w:tcPr>
            <w:tcW w:type="dxa" w:w="3135"/>
          </w:tcPr>
          <w:p>
            <w:pPr>
              <w:spacing w:after="40" w:before="20"/>
              <w:jc w:val="right"/>
            </w:pPr>
            <w:r/>
            <w:r>
              <w:rPr>
                <w:b w:val="0"/>
                <w:color w:val="E68A00"/>
                <w:sz w:val="14"/>
              </w:rPr>
              <w:t>Fällig nach Go-Live</w:t>
              <w:br/>
              <w:t>mit DNS-Umstellung</w:t>
            </w:r>
          </w:p>
        </w:tc>
      </w:tr>
      <w:tr>
        <w:tc>
          <w:tcPr>
            <w:tcW w:type="dxa" w:w="3135"/>
            <w:shd w:fill="F2F2F2"/>
          </w:tcPr>
          <w:p>
            <w:pPr>
              <w:spacing w:after="40" w:before="20"/>
            </w:pPr>
            <w:r/>
            <w:r>
              <w:rPr>
                <w:b/>
                <w:color w:val="1A1A1A"/>
                <w:sz w:val="18"/>
              </w:rPr>
              <w:t>Gesamt offen</w:t>
            </w:r>
          </w:p>
        </w:tc>
        <w:tc>
          <w:tcPr>
            <w:tcW w:type="dxa" w:w="3135"/>
            <w:shd w:fill="F2F2F2"/>
          </w:tcPr>
          <w:p>
            <w:pPr>
              <w:spacing w:after="40" w:before="20"/>
              <w:jc w:val="right"/>
            </w:pPr>
            <w:r/>
            <w:r>
              <w:rPr>
                <w:b/>
                <w:color w:val="1A1A1A"/>
                <w:sz w:val="18"/>
              </w:rPr>
              <w:t>EUR 1.400,–</w:t>
            </w:r>
          </w:p>
        </w:tc>
        <w:tc>
          <w:tcPr>
            <w:tcW w:type="dxa" w:w="3135"/>
            <w:shd w:fill="F2F2F2"/>
          </w:tcPr>
          <w:p>
            <w:pPr>
              <w:spacing w:after="40" w:before="20"/>
            </w:pPr>
            <w:r/>
            <w:r>
              <w:rPr>
                <w:b w:val="0"/>
                <w:sz w:val="14"/>
              </w:rPr>
            </w:r>
          </w:p>
        </w:tc>
      </w:tr>
    </w:tbl>
    <w:p>
      <w:pPr>
        <w:spacing w:after="60" w:before="200"/>
      </w:pPr>
      <w:r>
        <w:rPr>
          <w:b/>
          <w:i w:val="0"/>
          <w:color w:val="444444"/>
          <w:sz w:val="18"/>
        </w:rPr>
        <w:t>Steuerhinweis</w:t>
      </w:r>
    </w:p>
    <w:p>
      <w:pPr>
        <w:spacing w:after="160"/>
      </w:pPr>
      <w:r>
        <w:rPr>
          <w:b w:val="0"/>
          <w:i/>
          <w:color w:val="666666"/>
          <w:sz w:val="16"/>
        </w:rPr>
        <w:t>Diese Leistung ist eine innergemeinschaftliche sonstige Leistung (B2B) gemäß Art. 196 MwSt-Richtlinie. Es wird keine österreichische Umsatzsteuer in Rechnung gestellt. Der Leistungsempfänger schuldet die Steuer im eigenen Land (Reverse Charge).</w:t>
      </w:r>
    </w:p>
    <w:p>
      <w:pPr>
        <w:spacing w:after="320" w:before="200"/>
      </w:pPr>
      <w:r>
        <w:rPr>
          <w:b w:val="0"/>
          <w:i w:val="0"/>
          <w:color w:val="555555"/>
          <w:sz w:val="18"/>
        </w:rPr>
        <w:t>Mit freundlichen Grüßen,</w:t>
      </w:r>
    </w:p>
    <w:p>
      <w:pPr>
        <w:spacing w:after="40"/>
      </w:pPr>
      <w:r>
        <w:rPr>
          <w:b/>
          <w:i w:val="0"/>
          <w:color w:val="1A1A1A"/>
          <w:sz w:val="20"/>
        </w:rPr>
        <w:t>Axel Ludwig Mühlbacher</w:t>
      </w:r>
    </w:p>
    <w:p>
      <w:pPr>
        <w:spacing w:after="160"/>
      </w:pPr>
      <w:r>
        <w:rPr>
          <w:b w:val="0"/>
          <w:i w:val="0"/>
          <w:color w:val="666666"/>
          <w:sz w:val="16"/>
        </w:rPr>
        <w:t>Geschäftsführer – Solum Invest GmbH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268"/>
        <w:gridCol w:w="6803"/>
      </w:tblGrid>
      <w:tr>
        <w:tc>
          <w:tcPr>
            <w:tcW w:type="dxa" w:w="4703"/>
          </w:tcPr>
          <w:p>
            <w:pPr>
              <w:spacing w:after="40" w:before="20"/>
            </w:pPr>
            <w:r/>
            <w:r>
              <w:rPr>
                <w:b w:val="0"/>
                <w:color w:val="666666"/>
                <w:sz w:val="16"/>
              </w:rPr>
              <w:t>Bank:</w:t>
            </w:r>
          </w:p>
        </w:tc>
        <w:tc>
          <w:tcPr>
            <w:tcW w:type="dxa" w:w="4703"/>
          </w:tcPr>
          <w:p>
            <w:pPr>
              <w:spacing w:after="40" w:before="20"/>
            </w:pPr>
            <w:r/>
            <w:r>
              <w:rPr>
                <w:b w:val="0"/>
                <w:color w:val="555555"/>
                <w:sz w:val="16"/>
              </w:rPr>
              <w:t>Raiffeisenbank Volders</w:t>
            </w:r>
          </w:p>
        </w:tc>
      </w:tr>
      <w:tr>
        <w:tc>
          <w:tcPr>
            <w:tcW w:type="dxa" w:w="4703"/>
          </w:tcPr>
          <w:p>
            <w:pPr>
              <w:spacing w:after="40" w:before="20"/>
            </w:pPr>
            <w:r/>
            <w:r>
              <w:rPr>
                <w:b w:val="0"/>
                <w:color w:val="666666"/>
                <w:sz w:val="16"/>
              </w:rPr>
              <w:t>IBAN:</w:t>
            </w:r>
          </w:p>
        </w:tc>
        <w:tc>
          <w:tcPr>
            <w:tcW w:type="dxa" w:w="4703"/>
          </w:tcPr>
          <w:p>
            <w:pPr>
              <w:spacing w:after="40" w:before="20"/>
            </w:pPr>
            <w:r/>
            <w:r>
              <w:rPr>
                <w:b w:val="0"/>
                <w:color w:val="555555"/>
                <w:sz w:val="16"/>
              </w:rPr>
              <w:t>AT08 3620 0000 0035 2971</w:t>
            </w:r>
          </w:p>
        </w:tc>
      </w:tr>
      <w:tr>
        <w:tc>
          <w:tcPr>
            <w:tcW w:type="dxa" w:w="4703"/>
          </w:tcPr>
          <w:p>
            <w:pPr>
              <w:spacing w:after="40" w:before="20"/>
            </w:pPr>
            <w:r/>
            <w:r>
              <w:rPr>
                <w:b w:val="0"/>
                <w:color w:val="666666"/>
                <w:sz w:val="16"/>
              </w:rPr>
              <w:t>BIC:</w:t>
            </w:r>
          </w:p>
        </w:tc>
        <w:tc>
          <w:tcPr>
            <w:tcW w:type="dxa" w:w="4703"/>
          </w:tcPr>
          <w:p>
            <w:pPr>
              <w:spacing w:after="40" w:before="20"/>
            </w:pPr>
            <w:r/>
            <w:r>
              <w:rPr>
                <w:b w:val="0"/>
                <w:color w:val="555555"/>
                <w:sz w:val="16"/>
              </w:rPr>
              <w:t>RZTIAT 22200</w:t>
            </w:r>
          </w:p>
        </w:tc>
      </w:tr>
      <w:tr>
        <w:tc>
          <w:tcPr>
            <w:tcW w:type="dxa" w:w="4703"/>
          </w:tcPr>
          <w:p>
            <w:pPr>
              <w:spacing w:after="40" w:before="20"/>
            </w:pPr>
            <w:r/>
            <w:r>
              <w:rPr>
                <w:b w:val="0"/>
                <w:color w:val="666666"/>
                <w:sz w:val="16"/>
              </w:rPr>
              <w:t>Verwendung:</w:t>
            </w:r>
          </w:p>
        </w:tc>
        <w:tc>
          <w:tcPr>
            <w:tcW w:type="dxa" w:w="4703"/>
          </w:tcPr>
          <w:p>
            <w:pPr>
              <w:spacing w:after="40" w:before="20"/>
            </w:pPr>
            <w:r/>
            <w:r>
              <w:rPr>
                <w:b w:val="0"/>
                <w:color w:val="555555"/>
                <w:sz w:val="16"/>
              </w:rPr>
              <w:t>Rechnung 07/2026 – TimeToJump Dolomites</w:t>
            </w:r>
          </w:p>
        </w:tc>
      </w:tr>
    </w:tbl>
    <w:p>
      <w:pPr>
        <w:spacing w:after="0" w:before="320"/>
        <w:jc w:val="center"/>
      </w:pPr>
      <w:r>
        <w:rPr>
          <w:b w:val="0"/>
          <w:i w:val="0"/>
          <w:color w:val="999999"/>
          <w:sz w:val="14"/>
        </w:rPr>
        <w:t>Solum Invest GmbH  ·  Augasse 4, 6111 Volders  ·  ATU81665404  ·  FN 642566a  ·  office@soluminvest.at  ·  +43 676 4008771</w:t>
      </w:r>
    </w:p>
    <w:sectPr>
      <w:footerReference r:id="rId7" w:type="default"/>
      <w:pgSz w:h="15840" w:w="12240" w:orient="portrait"/>
      <w:pgMar w:bottom="1701" w:top="1134" w:left="1417" w:right="1417" w:header="567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8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bbbbbb"/>
        <w:sz w:val="10"/>
        <w:szCs w:val="10"/>
        <w:u w:val="none"/>
        <w:shd w:fill="auto" w:val="clear"/>
        <w:vertAlign w:val="baseline"/>
        <w:rtl w:val="0"/>
      </w:rPr>
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spacing w:after="0" w:before="40" w:lineRule="auto"/>
      <w:rPr/>
    </w:pPr>
    <w:r w:rsidDel="00000000" w:rsidR="00000000" w:rsidRPr="00000000">
      <w:rPr>
        <w:rFonts w:ascii="Arial" w:cs="Arial" w:eastAsia="Arial" w:hAnsi="Arial"/>
        <w:color w:val="777777"/>
        <w:sz w:val="14"/>
        <w:szCs w:val="14"/>
        <w:rtl w:val="0"/>
      </w:rPr>
      <w:t xml:space="preserve">Solum Invest GmbH  |  Augasse 4, 6111 Volders  |  FN 642566 a  |  UID: ATU81665404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A">
    <w:pPr>
      <w:spacing w:after="0" w:before="20" w:lineRule="auto"/>
      <w:rPr/>
    </w:pPr>
    <w:r w:rsidDel="00000000" w:rsidR="00000000" w:rsidRPr="00000000">
      <w:rPr>
        <w:rFonts w:ascii="Arial" w:cs="Arial" w:eastAsia="Arial" w:hAnsi="Arial"/>
        <w:color w:val="777777"/>
        <w:sz w:val="14"/>
        <w:szCs w:val="14"/>
        <w:rtl w:val="0"/>
      </w:rPr>
      <w:t xml:space="preserve">Bankverbindung:  IBAN AT08 3620 0000 0035 2971  |  BIC RZTIAT22200  |  Verwendungszweck: Miete und BK Höttinger Au 43 Top 8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B">
    <w:pPr>
      <w:spacing w:after="0" w:before="20" w:lineRule="auto"/>
      <w:rPr/>
    </w:pPr>
    <w:r w:rsidDel="00000000" w:rsidR="00000000" w:rsidRPr="00000000">
      <w:rPr>
        <w:rFonts w:ascii="Arial" w:cs="Arial" w:eastAsia="Arial" w:hAnsi="Arial"/>
        <w:color w:val="777777"/>
        <w:sz w:val="14"/>
        <w:szCs w:val="14"/>
        <w:rtl w:val="0"/>
      </w:rPr>
      <w:t xml:space="preserve">office@soluminvest.at  |  +43 676 4008 771  |  soluminvest.at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1yGjDJ00NpcVm8jsGBfBW1UeMw==">CgMxLjA4AHIhMW9neWNjYmE4bUw1R2xJbU94ZzZSMFpfQjBlM1RWcnB2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