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44"/>
          <w:szCs w:val="44"/>
        </w:rPr>
        <w:t xml:space="preserve">Blast Radius Analysis - ML Model Card</w:t>
      </w:r>
    </w:p>
    <w:p>
      <w:pPr>
        <w:spacing w:after="100"/>
        <w:jc w:val="center"/>
      </w:pPr>
      <w:r>
        <w:rPr>
          <w:rFonts w:ascii="Arial" w:cs="Arial" w:eastAsia="Arial" w:hAnsi="Arial"/>
          <w:color w:val="666666"/>
          <w:sz w:val="24"/>
          <w:szCs w:val="24"/>
        </w:rPr>
        <w:t xml:space="preserve">CMI NaaP AI Network Intelligence Platform</w:t>
      </w:r>
    </w:p>
    <w:p>
      <w:pPr>
        <w:spacing w:after="400"/>
        <w:jc w:val="center"/>
      </w:pPr>
      <w:r>
        <w:rPr>
          <w:rFonts w:ascii="Arial" w:cs="Arial" w:eastAsia="Arial" w:hAnsi="Arial"/>
          <w:color w:val="999999"/>
          <w:sz w:val="20"/>
          <w:szCs w:val="20"/>
        </w:rPr>
        <w:t xml:space="preserve">March 2026 | Classification: Internal | Version 1.0</w:t>
      </w:r>
    </w:p>
    <w:p>
      <w:r>
        <w:br w:type="page"/>
      </w:r>
    </w:p>
    <w:p>
      <w:pPr>
        <w:pStyle w:val="Heading1"/>
        <w:spacing w:after="200" w:before="300"/>
      </w:pPr>
      <w:r>
        <w:rPr>
          <w:rFonts w:ascii="Arial" w:cs="Arial" w:eastAsia="Arial" w:hAnsi="Arial"/>
          <w:b/>
          <w:bCs/>
          <w:color w:val="1B3A5C"/>
          <w:sz w:val="30"/>
          <w:szCs w:val="30"/>
        </w:rPr>
        <w:t xml:space="preserve">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Use Case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Blast Radius Analysis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ML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 Graph Analytics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Service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CMI NaaP AI Team</w:t>
            </w:r>
          </w:p>
        </w:tc>
      </w:tr>
    </w:tbl>
    <w:p>
      <w:pPr>
        <w:spacing w:after="150"/>
      </w:pPr>
    </w:p>
    <w:p>
      <w:pPr>
        <w:pStyle w:val="Heading1"/>
        <w:spacing w:after="200" w:before="300"/>
      </w:pPr>
      <w:r>
        <w:rPr>
          <w:rFonts w:ascii="Arial" w:cs="Arial" w:eastAsia="Arial" w:hAnsi="Arial"/>
          <w:b/>
          <w:bCs/>
          <w:color w:val="1B3A5C"/>
          <w:sz w:val="30"/>
          <w:szCs w:val="30"/>
        </w:rPr>
        <w:t xml:space="preserve">2.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Risk Classifier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Decision Tree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Feature-based Risk Scorer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 Classifier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LR + 30% DT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PageRank</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Node Criticality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Betweenness Centrality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BFS Cascading Failure Simulation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Default</w:t>
            </w:r>
          </w:p>
        </w:tc>
      </w:tr>
    </w:tbl>
    <w:p>
      <w:pPr>
        <w:spacing w:after="150"/>
      </w:pPr>
    </w:p>
    <w:p>
      <w:pPr>
        <w:pStyle w:val="Heading1"/>
        <w:spacing w:after="200" w:before="300"/>
      </w:pPr>
      <w:r>
        <w:rPr>
          <w:rFonts w:ascii="Arial" w:cs="Arial" w:eastAsia="Arial" w:hAnsi="Arial"/>
          <w:b/>
          <w:bCs/>
          <w:color w:val="1B3A5C"/>
          <w:sz w:val="30"/>
          <w:szCs w:val="30"/>
        </w:rPr>
        <w:t xml:space="preserve">3. Input Features &amp; Training Data</w:t>
      </w:r>
    </w:p>
    <w:p>
      <w:pPr>
        <w:pStyle w:val="Heading2"/>
        <w:spacing w:after="120" w:before="200"/>
      </w:pPr>
      <w:r>
        <w:rPr>
          <w:rFonts w:ascii="Arial" w:cs="Arial" w:eastAsia="Arial" w:hAnsi="Arial"/>
          <w:b/>
          <w:bCs/>
          <w:color w:val="2E5090"/>
          <w:sz w:val="26"/>
          <w:szCs w:val="26"/>
        </w:rPr>
        <w:t xml:space="preserve">3.1 Feature Engineering</w:t>
      </w:r>
    </w:p>
    <w:p>
      <w:pPr>
        <w:spacing w:after="120"/>
      </w:pPr>
      <w:r>
        <w:rPr>
          <w:rFonts w:ascii="Arial" w:cs="Arial" w:eastAsia="Arial" w:hAnsi="Arial"/>
          <w:sz w:val="22"/>
          <w:szCs w:val="22"/>
        </w:rPr>
        <w:t xml:space="preserve">7-dimensional: degree centrality, betweenness, closeness, eigenvector, community membership, service count, link capacity</w:t>
      </w:r>
    </w:p>
    <w:p>
      <w:pPr>
        <w:pStyle w:val="Heading2"/>
        <w:spacing w:after="120" w:before="200"/>
      </w:pPr>
      <w:r>
        <w:rPr>
          <w:rFonts w:ascii="Arial" w:cs="Arial" w:eastAsia="Arial" w:hAnsi="Arial"/>
          <w:b/>
          <w:bCs/>
          <w:color w:val="2E5090"/>
          <w:sz w:val="26"/>
          <w:szCs w:val="26"/>
        </w:rPr>
        <w:t xml:space="preserve">3.2 Training Data</w:t>
      </w:r>
    </w:p>
    <w:p>
      <w:pPr>
        <w:spacing w:after="120"/>
      </w:pPr>
      <w:r>
        <w:rPr>
          <w:rFonts w:ascii="Arial" w:cs="Arial" w:eastAsia="Arial" w:hAnsi="Arial"/>
          <w:sz w:val="22"/>
          <w:szCs w:val="22"/>
        </w:rPr>
        <w:t xml:space="preserve">Synthetic topology with 50+ nodes, 80+ edges, realistic SP network patterns</w:t>
      </w:r>
    </w:p>
    <w:p>
      <w:pPr>
        <w:pStyle w:val="Heading1"/>
        <w:spacing w:after="200" w:before="300"/>
      </w:pPr>
      <w:r>
        <w:rPr>
          <w:rFonts w:ascii="Arial" w:cs="Arial" w:eastAsia="Arial" w:hAnsi="Arial"/>
          <w:b/>
          <w:bCs/>
          <w:color w:val="1B3A5C"/>
          <w:sz w:val="30"/>
          <w:szCs w:val="30"/>
        </w:rPr>
        <w:t xml:space="preserve">4. Performance Metrics</w:t>
      </w:r>
    </w:p>
    <w:p>
      <w:pPr>
        <w:spacing w:after="150"/>
      </w:pPr>
      <w:r>
        <w:rPr>
          <w:rFonts w:ascii="Arial" w:cs="Arial" w:eastAsia="Arial" w:hAnsi="Arial"/>
          <w:sz w:val="22"/>
          <w:szCs w:val="22"/>
        </w:rPr>
        <w:t xml:space="preserve">Risk Classification AUC: 0.89, Cascade Prediction Recall: 0.92</w:t>
      </w:r>
    </w:p>
    <w:p>
      <w:pPr>
        <w:pStyle w:val="Heading1"/>
        <w:spacing w:after="200" w:before="300"/>
      </w:pPr>
      <w:r>
        <w:rPr>
          <w:rFonts w:ascii="Arial" w:cs="Arial" w:eastAsia="Arial" w:hAnsi="Arial"/>
          <w:b/>
          <w:bCs/>
          <w:color w:val="1B3A5C"/>
          <w:sz w:val="30"/>
          <w:szCs w:val="30"/>
        </w:rPr>
        <w:t xml:space="preserve">5. Limitations &amp; Bias</w:t>
      </w:r>
    </w:p>
    <w:p>
      <w:pPr>
        <w:spacing w:after="150"/>
      </w:pPr>
      <w:r>
        <w:rPr>
          <w:rFonts w:ascii="Arial" w:cs="Arial" w:eastAsia="Arial" w:hAnsi="Arial"/>
          <w:sz w:val="22"/>
          <w:szCs w:val="22"/>
        </w:rPr>
        <w:t xml:space="preserve">Trained on simulated topologies only; real-world calibration needed. Does not model L1/optical layer dependencies. Graph size limited to ~10K nodes for real-time analysis.</w:t>
      </w:r>
    </w:p>
    <w:p>
      <w:pPr>
        <w:pStyle w:val="Heading1"/>
        <w:spacing w:after="200" w:before="300"/>
      </w:pPr>
      <w:r>
        <w:rPr>
          <w:rFonts w:ascii="Arial" w:cs="Arial" w:eastAsia="Arial" w:hAnsi="Arial"/>
          <w:b/>
          <w:bCs/>
          <w:color w:val="1B3A5C"/>
          <w:sz w:val="30"/>
          <w:szCs w:val="30"/>
        </w:rPr>
        <w:t xml:space="preserve">6. Ethical Considerations</w:t>
      </w:r>
    </w:p>
    <w:p>
      <w:pPr>
        <w:spacing w:after="150"/>
      </w:pPr>
      <w:r>
        <w:rPr>
          <w:rFonts w:ascii="Arial" w:cs="Arial" w:eastAsia="Arial" w:hAnsi="Arial"/>
          <w:sz w:val="22"/>
          <w:szCs w:val="22"/>
        </w:rPr>
        <w:t xml:space="preserve">This model operates on network telemetry data only and does not process personal user data. All predictions are advisory and require human approval for critical actions. Model outputs should be validated against operational context before acting on them.</w:t>
      </w:r>
    </w:p>
    <w:p>
      <w:pPr>
        <w:spacing w:after="150"/>
      </w:pPr>
      <w:r>
        <w:rPr>
          <w:rFonts w:ascii="Arial" w:cs="Arial" w:eastAsia="Arial" w:hAnsi="Arial"/>
          <w:sz w:val="22"/>
          <w:szCs w:val="22"/>
        </w:rPr>
        <w:t xml:space="preserve">Bias Risk: Models trained on synthetic data may not generalize to all network topologies. Regular retraining with production data is required. Fairness across device vendors (Cisco, Juniper, Arista) requires vendor-specific calibration.</w:t>
      </w:r>
    </w:p>
    <w:p>
      <w:pPr>
        <w:pStyle w:val="Heading1"/>
        <w:spacing w:after="200" w:before="300"/>
      </w:pPr>
      <w:r>
        <w:rPr>
          <w:rFonts w:ascii="Arial" w:cs="Arial" w:eastAsia="Arial" w:hAnsi="Arial"/>
          <w:b/>
          <w:bCs/>
          <w:color w:val="1B3A5C"/>
          <w:sz w:val="30"/>
          <w:szCs w:val="30"/>
        </w:rPr>
        <w:t xml:space="preserve">7. Retraining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Retraining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or on &gt;5% accuracy degradation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Drift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(PSI) &gt; 0.2 triggers alert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Data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via Kafka consumer, validated before training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Model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with versioning, A/B testing support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Rollback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fallback to previous model on performance drop</w:t>
            </w:r>
          </w:p>
        </w:tc>
      </w:tr>
    </w:tbl>
    <w:p>
      <w:pPr>
        <w:spacing w:after="15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BRA Model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2026-03-25T13:36:19.048Z</dcterms:created>
  <dcterms:modified xsi:type="dcterms:W3CDTF">2026-03-25T13:36:19.048Z</dcterms:modified>
</cp:coreProperties>
</file>

<file path=docProps/custom.xml><?xml version="1.0" encoding="utf-8"?>
<Properties xmlns="http://schemas.openxmlformats.org/officeDocument/2006/custom-properties" xmlns:vt="http://schemas.openxmlformats.org/officeDocument/2006/docPropsVTypes"/>
</file>