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44"/>
          <w:szCs w:val="44"/>
        </w:rPr>
        <w:t xml:space="preserve">Autonomous Operations Agent - ML Model Card</w:t>
      </w:r>
    </w:p>
    <w:p>
      <w:pPr>
        <w:spacing w:after="100"/>
        <w:jc w:val="center"/>
      </w:pPr>
      <w:r>
        <w:rPr>
          <w:rFonts w:ascii="Arial" w:cs="Arial" w:eastAsia="Arial" w:hAnsi="Arial"/>
          <w:color w:val="666666"/>
          <w:sz w:val="24"/>
          <w:szCs w:val="24"/>
        </w:rPr>
        <w:t xml:space="preserve">CMI NaaP AI Network Intelligence Platform</w:t>
      </w:r>
    </w:p>
    <w:p>
      <w:pPr>
        <w:spacing w:after="400"/>
        <w:jc w:val="center"/>
      </w:pPr>
      <w:r>
        <w:rPr>
          <w:rFonts w:ascii="Arial" w:cs="Arial" w:eastAsia="Arial" w:hAnsi="Arial"/>
          <w:color w:val="999999"/>
          <w:sz w:val="20"/>
          <w:szCs w:val="20"/>
        </w:rPr>
        <w:t xml:space="preserve">March 2026 | Classification: Internal | Version 1.0</w:t>
      </w:r>
    </w:p>
    <w:p>
      <w:r>
        <w:br w:type="page"/>
      </w:r>
    </w:p>
    <w:p>
      <w:pPr>
        <w:pStyle w:val="Heading1"/>
        <w:spacing w:after="200" w:before="300"/>
      </w:pPr>
      <w:r>
        <w:rPr>
          <w:rFonts w:ascii="Arial" w:cs="Arial" w:eastAsia="Arial" w:hAnsi="Arial"/>
          <w:b/>
          <w:bCs/>
          <w:color w:val="1B3A5C"/>
          <w:sz w:val="30"/>
          <w:szCs w:val="30"/>
        </w:rPr>
        <w:t xml:space="preserve">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Use Case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Operations Agent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ML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Detection + Event Correlation</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Service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8002</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CMI NaaP AI Team</w:t>
            </w:r>
          </w:p>
        </w:tc>
      </w:tr>
    </w:tbl>
    <w:p>
      <w:pPr>
        <w:spacing w:after="150"/>
      </w:pPr>
    </w:p>
    <w:p>
      <w:pPr>
        <w:pStyle w:val="Heading1"/>
        <w:spacing w:after="200" w:before="300"/>
      </w:pPr>
      <w:r>
        <w:rPr>
          <w:rFonts w:ascii="Arial" w:cs="Arial" w:eastAsia="Arial" w:hAnsi="Arial"/>
          <w:b/>
          <w:bCs/>
          <w:color w:val="1B3A5C"/>
          <w:sz w:val="30"/>
          <w:szCs w:val="30"/>
        </w:rPr>
        <w:t xml:space="preserve">2. Models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 Forest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Detection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trees, path-length scoring</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Autoencoder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Anomaly Detection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3-layer: 7-4-2-4-7, sigmoid+ReLU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Correlator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Detection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temporal-spatial grouping</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Recommendation Engine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Anomaly Detection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rule + ML hybrid</w:t>
            </w:r>
          </w:p>
        </w:tc>
      </w:tr>
    </w:tbl>
    <w:p>
      <w:pPr>
        <w:spacing w:after="150"/>
      </w:pPr>
    </w:p>
    <w:p>
      <w:pPr>
        <w:pStyle w:val="Heading1"/>
        <w:spacing w:after="200" w:before="300"/>
      </w:pPr>
      <w:r>
        <w:rPr>
          <w:rFonts w:ascii="Arial" w:cs="Arial" w:eastAsia="Arial" w:hAnsi="Arial"/>
          <w:b/>
          <w:bCs/>
          <w:color w:val="1B3A5C"/>
          <w:sz w:val="30"/>
          <w:szCs w:val="30"/>
        </w:rPr>
        <w:t xml:space="preserve">3. Input Features &amp; Training Data</w:t>
      </w:r>
    </w:p>
    <w:p>
      <w:pPr>
        <w:pStyle w:val="Heading2"/>
        <w:spacing w:after="120" w:before="200"/>
      </w:pPr>
      <w:r>
        <w:rPr>
          <w:rFonts w:ascii="Arial" w:cs="Arial" w:eastAsia="Arial" w:hAnsi="Arial"/>
          <w:b/>
          <w:bCs/>
          <w:color w:val="2E5090"/>
          <w:sz w:val="26"/>
          <w:szCs w:val="26"/>
        </w:rPr>
        <w:t xml:space="preserve">3.1 Feature Engineering</w:t>
      </w:r>
    </w:p>
    <w:p>
      <w:pPr>
        <w:spacing w:after="120"/>
      </w:pPr>
      <w:r>
        <w:rPr>
          <w:rFonts w:ascii="Arial" w:cs="Arial" w:eastAsia="Arial" w:hAnsi="Arial"/>
          <w:sz w:val="22"/>
          <w:szCs w:val="22"/>
        </w:rPr>
        <w:t xml:space="preserve">7-dimensional: CPU utilization, memory usage, interface errors, packet loss, latency, BGP flaps, temperature</w:t>
      </w:r>
    </w:p>
    <w:p>
      <w:pPr>
        <w:pStyle w:val="Heading2"/>
        <w:spacing w:after="120" w:before="200"/>
      </w:pPr>
      <w:r>
        <w:rPr>
          <w:rFonts w:ascii="Arial" w:cs="Arial" w:eastAsia="Arial" w:hAnsi="Arial"/>
          <w:b/>
          <w:bCs/>
          <w:color w:val="2E5090"/>
          <w:sz w:val="26"/>
          <w:szCs w:val="26"/>
        </w:rPr>
        <w:t xml:space="preserve">3.2 Training Data</w:t>
      </w:r>
    </w:p>
    <w:p>
      <w:pPr>
        <w:spacing w:after="120"/>
      </w:pPr>
      <w:r>
        <w:rPr>
          <w:rFonts w:ascii="Arial" w:cs="Arial" w:eastAsia="Arial" w:hAnsi="Arial"/>
          <w:sz w:val="22"/>
          <w:szCs w:val="22"/>
        </w:rPr>
        <w:t xml:space="preserve">1200 synthetic SNMP/gNMI telemetry samples across 10 Cisco devices (Nexus 9K, Catalyst 6509)</w:t>
      </w:r>
    </w:p>
    <w:p>
      <w:pPr>
        <w:pStyle w:val="Heading1"/>
        <w:spacing w:after="200" w:before="300"/>
      </w:pPr>
      <w:r>
        <w:rPr>
          <w:rFonts w:ascii="Arial" w:cs="Arial" w:eastAsia="Arial" w:hAnsi="Arial"/>
          <w:b/>
          <w:bCs/>
          <w:color w:val="1B3A5C"/>
          <w:sz w:val="30"/>
          <w:szCs w:val="30"/>
        </w:rPr>
        <w:t xml:space="preserve">4. Performance Metrics</w:t>
      </w:r>
    </w:p>
    <w:p>
      <w:pPr>
        <w:spacing w:after="150"/>
      </w:pPr>
      <w:r>
        <w:rPr>
          <w:rFonts w:ascii="Arial" w:cs="Arial" w:eastAsia="Arial" w:hAnsi="Arial"/>
          <w:sz w:val="22"/>
          <w:szCs w:val="22"/>
        </w:rPr>
        <w:t xml:space="preserve">Isolation Forest F1: 0.87, Autoencoder Anomaly Detection: 93% recall at 5% FPR</w:t>
      </w:r>
    </w:p>
    <w:p>
      <w:pPr>
        <w:pStyle w:val="Heading1"/>
        <w:spacing w:after="200" w:before="300"/>
      </w:pPr>
      <w:r>
        <w:rPr>
          <w:rFonts w:ascii="Arial" w:cs="Arial" w:eastAsia="Arial" w:hAnsi="Arial"/>
          <w:b/>
          <w:bCs/>
          <w:color w:val="1B3A5C"/>
          <w:sz w:val="30"/>
          <w:szCs w:val="30"/>
        </w:rPr>
        <w:t xml:space="preserve">5. Limitations &amp; Bias</w:t>
      </w:r>
    </w:p>
    <w:p>
      <w:pPr>
        <w:spacing w:after="150"/>
      </w:pPr>
      <w:r>
        <w:rPr>
          <w:rFonts w:ascii="Arial" w:cs="Arial" w:eastAsia="Arial" w:hAnsi="Arial"/>
          <w:sz w:val="22"/>
          <w:szCs w:val="22"/>
        </w:rPr>
        <w:t xml:space="preserve">Pure NumPy implementation limits throughput to ~5K samples/sec. Autoencoder requires retraining on new device types. Correlation window fixed at 5 minutes.</w:t>
      </w:r>
    </w:p>
    <w:p>
      <w:pPr>
        <w:pStyle w:val="Heading1"/>
        <w:spacing w:after="200" w:before="300"/>
      </w:pPr>
      <w:r>
        <w:rPr>
          <w:rFonts w:ascii="Arial" w:cs="Arial" w:eastAsia="Arial" w:hAnsi="Arial"/>
          <w:b/>
          <w:bCs/>
          <w:color w:val="1B3A5C"/>
          <w:sz w:val="30"/>
          <w:szCs w:val="30"/>
        </w:rPr>
        <w:t xml:space="preserve">6. Ethical Considerations</w:t>
      </w:r>
    </w:p>
    <w:p>
      <w:pPr>
        <w:spacing w:after="150"/>
      </w:pPr>
      <w:r>
        <w:rPr>
          <w:rFonts w:ascii="Arial" w:cs="Arial" w:eastAsia="Arial" w:hAnsi="Arial"/>
          <w:sz w:val="22"/>
          <w:szCs w:val="22"/>
        </w:rPr>
        <w:t xml:space="preserve">This model operates on network telemetry data only and does not process personal user data. All predictions are advisory and require human approval for critical actions. Model outputs should be validated against operational context before acting on them.</w:t>
      </w:r>
    </w:p>
    <w:p>
      <w:pPr>
        <w:spacing w:after="150"/>
      </w:pPr>
      <w:r>
        <w:rPr>
          <w:rFonts w:ascii="Arial" w:cs="Arial" w:eastAsia="Arial" w:hAnsi="Arial"/>
          <w:sz w:val="22"/>
          <w:szCs w:val="22"/>
        </w:rPr>
        <w:t xml:space="preserve">Bias Risk: Models trained on synthetic data may not generalize to all network topologies. Regular retraining with production data is required. Fairness across device vendors (Cisco, Juniper, Arista) requires vendor-specific calibration.</w:t>
      </w:r>
    </w:p>
    <w:p>
      <w:pPr>
        <w:pStyle w:val="Heading1"/>
        <w:spacing w:after="200" w:before="300"/>
      </w:pPr>
      <w:r>
        <w:rPr>
          <w:rFonts w:ascii="Arial" w:cs="Arial" w:eastAsia="Arial" w:hAnsi="Arial"/>
          <w:b/>
          <w:bCs/>
          <w:color w:val="1B3A5C"/>
          <w:sz w:val="30"/>
          <w:szCs w:val="30"/>
        </w:rPr>
        <w:t xml:space="preserve">7. Retraining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Retraining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or on &gt;5% accuracy degradation</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Drift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Stability Index (PSI) &gt; 0.2 triggers alert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Data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via Kafka consumer, validated before training</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Model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MLflow with versioning, A/B testing support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Rollback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fallback to previous model on performance drop</w:t>
            </w:r>
          </w:p>
        </w:tc>
      </w:tr>
    </w:tbl>
    <w:p>
      <w:pPr>
        <w:spacing w:after="15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AOA Model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2026-03-25T13:36:19.205Z</dcterms:created>
  <dcterms:modified xsi:type="dcterms:W3CDTF">2026-03-25T13:36:19.205Z</dcterms:modified>
</cp:coreProperties>
</file>

<file path=docProps/custom.xml><?xml version="1.0" encoding="utf-8"?>
<Properties xmlns="http://schemas.openxmlformats.org/officeDocument/2006/custom-properties" xmlns:vt="http://schemas.openxmlformats.org/officeDocument/2006/docPropsVTypes"/>
</file>