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Predictive Capacity Intelligence</w:t>
      </w:r>
    </w:p>
    <w:p>
      <w:pPr>
        <w:spacing w:after="100"/>
        <w:jc w:val="center"/>
      </w:pPr>
      <w:r>
        <w:rPr>
          <w:rFonts w:ascii="Arial" w:cs="Arial" w:eastAsia="Arial" w:hAnsi="Arial"/>
          <w:color w:val="4A6FA5"/>
          <w:sz w:val="32"/>
          <w:szCs w:val="32"/>
        </w:rPr>
        <w:t xml:space="preserve">White Papers &amp; Academic References</w:t>
      </w:r>
    </w:p>
    <w:p>
      <w:pPr>
        <w:spacing w:after="400"/>
        <w:jc w:val="center"/>
      </w:pPr>
      <w:r>
        <w:rPr>
          <w:rFonts w:ascii="Arial" w:cs="Arial" w:eastAsia="Arial" w:hAnsi="Arial"/>
          <w:i/>
          <w:iCs/>
          <w:color w:val="666666"/>
          <w:sz w:val="24"/>
          <w:szCs w:val="24"/>
        </w:rPr>
        <w:t xml:space="preserve">ARIMA, LSTM, Prophet &amp; Ensemble Time Series Forecasting</w:t>
      </w:r>
    </w:p>
    <w:p>
      <w:pPr>
        <w:spacing w:after="200"/>
        <w:jc w:val="center"/>
      </w:pPr>
      <w:r>
        <w:rPr>
          <w:rFonts w:ascii="Arial" w:cs="Arial" w:eastAsia="Arial" w:hAnsi="Arial"/>
          <w:color w:val="888888"/>
          <w:sz w:val="22"/>
          <w:szCs w:val="22"/>
        </w:rPr>
        <w:t xml:space="preserve">CMI NaaP AI Network Intelligence Platform</w:t>
      </w:r>
    </w:p>
    <w:p>
      <w:pPr>
        <w:spacing w:after="200"/>
        <w:jc w:val="center"/>
      </w:pPr>
      <w:r>
        <w:rPr>
          <w:rFonts w:ascii="Arial" w:cs="Arial" w:eastAsia="Arial" w:hAnsi="Arial"/>
          <w:color w:val="999999"/>
          <w:sz w:val="20"/>
          <w:szCs w:val="20"/>
        </w:rPr>
        <w:t xml:space="preserve">Prepared: March 2026 | Classification: Internal</w:t>
      </w:r>
    </w:p>
    <w:p>
      <w:r>
        <w:br w:type="page"/>
      </w:r>
    </w:p>
    <w:p>
      <w:pPr>
        <w:pStyle w:val="Heading1"/>
        <w:spacing w:after="300" w:before="200"/>
      </w:pPr>
      <w:r>
        <w:rPr>
          <w:rFonts w:ascii="Arial" w:cs="Arial" w:eastAsia="Arial" w:hAnsi="Arial"/>
          <w:b/>
          <w:bCs/>
          <w:color w:val="1B3A5C"/>
          <w:sz w:val="32"/>
          <w:szCs w:val="32"/>
        </w:rPr>
        <w:t xml:space="preserve">Table of Contents</w:t>
      </w:r>
    </w:p>
    <w:p>
      <w:pPr>
        <w:spacing w:after="80" w:before="80"/>
        <w:ind w:left="360"/>
      </w:pPr>
      <w:r>
        <w:rPr>
          <w:rFonts w:ascii="Arial" w:cs="Arial" w:eastAsia="Arial" w:hAnsi="Arial"/>
          <w:color w:val="333333"/>
          <w:sz w:val="24"/>
          <w:szCs w:val="24"/>
        </w:rPr>
        <w:t xml:space="preserve">1. Foundational Theory</w:t>
      </w:r>
    </w:p>
    <w:p>
      <w:pPr>
        <w:spacing w:after="80" w:before="80"/>
        <w:ind w:left="360"/>
      </w:pPr>
      <w:r>
        <w:rPr>
          <w:rFonts w:ascii="Arial" w:cs="Arial" w:eastAsia="Arial" w:hAnsi="Arial"/>
          <w:color w:val="333333"/>
          <w:sz w:val="24"/>
          <w:szCs w:val="24"/>
        </w:rPr>
        <w:t xml:space="preserve">2. Core ML/AI Techniques</w:t>
      </w:r>
    </w:p>
    <w:p>
      <w:pPr>
        <w:spacing w:after="80" w:before="80"/>
        <w:ind w:left="360"/>
      </w:pPr>
      <w:r>
        <w:rPr>
          <w:rFonts w:ascii="Arial" w:cs="Arial" w:eastAsia="Arial" w:hAnsi="Arial"/>
          <w:color w:val="333333"/>
          <w:sz w:val="24"/>
          <w:szCs w:val="24"/>
        </w:rPr>
        <w:t xml:space="preserve">3. Industry Standards &amp; Vendor White Papers</w:t>
      </w:r>
    </w:p>
    <w:p>
      <w:pPr>
        <w:spacing w:after="80" w:before="80"/>
        <w:ind w:left="360"/>
      </w:pPr>
      <w:r>
        <w:rPr>
          <w:rFonts w:ascii="Arial" w:cs="Arial" w:eastAsia="Arial" w:hAnsi="Arial"/>
          <w:color w:val="333333"/>
          <w:sz w:val="24"/>
          <w:szCs w:val="24"/>
        </w:rPr>
        <w:t xml:space="preserve">4. Production Implementation References</w:t>
      </w:r>
    </w:p>
    <w:p>
      <w:r>
        <w:br w:type="page"/>
      </w:r>
    </w:p>
    <w:p>
      <w:pPr>
        <w:pStyle w:val="Heading1"/>
        <w:spacing w:after="200" w:before="200"/>
      </w:pPr>
      <w:r>
        <w:rPr>
          <w:rFonts w:ascii="Arial" w:cs="Arial" w:eastAsia="Arial" w:hAnsi="Arial"/>
          <w:b/>
          <w:bCs/>
          <w:color w:val="1B3A5C"/>
          <w:sz w:val="32"/>
          <w:szCs w:val="32"/>
        </w:rPr>
        <w:t xml:space="preserve">Executive Summary</w:t>
      </w:r>
    </w:p>
    <w:p>
      <w:pPr>
        <w:spacing w:after="200"/>
      </w:pPr>
      <w:r>
        <w:rPr>
          <w:rFonts w:ascii="Arial" w:cs="Arial" w:eastAsia="Arial" w:hAnsi="Arial"/>
          <w:sz w:val="22"/>
          <w:szCs w:val="22"/>
        </w:rPr>
        <w:t xml:space="preserve">This document catalogs 12 white papers, academic publications, industry standards, and vendor references that provide the theoretical and practical foundation for the Predictive Capacity Intelligence use case. These references span foundational theory, core ML/AI techniques, industry standards, and production implementation patterns. Each reference includes source verification, relevance mapping, and production applicability notes to guide implementation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60"/>
        <w:gridCol w:w="400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Sources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Foundational Theory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PeerJ Preprints / Facebook Research, Google Research / ICML 2024, arXiv</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Core ML/AI Techniques</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ITM Web of Conferences, MDPI / Frontiers in IoT, ScienceDirect / Elsevier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Standards &amp; Vendor White Papers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IETF / RFC Editor, IEEE</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Production Implementation References</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ACM, IEEE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spacing w:after="200" w:before="300"/>
      </w:pPr>
      <w:r>
        <w:rPr>
          <w:rFonts w:ascii="Arial" w:cs="Arial" w:eastAsia="Arial" w:hAnsi="Arial"/>
          <w:b/>
          <w:bCs/>
          <w:color w:val="1B3A5C"/>
          <w:sz w:val="30"/>
          <w:szCs w:val="30"/>
        </w:rPr>
        <w:t xml:space="preserve">1. Foundational Theory</w:t>
      </w:r>
    </w:p>
    <w:p>
      <w:pPr>
        <w:pStyle w:val="Heading2"/>
        <w:spacing w:after="100" w:before="250"/>
      </w:pPr>
      <w:r>
        <w:rPr>
          <w:rFonts w:ascii="Arial" w:cs="Arial" w:eastAsia="Arial" w:hAnsi="Arial"/>
          <w:b/>
          <w:bCs/>
          <w:color w:val="2E5090"/>
          <w:sz w:val="24"/>
          <w:szCs w:val="24"/>
        </w:rPr>
        <w:t xml:space="preserve">1. Forecasting at Scale (Facebook Prophet)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Sean J. Taylor, Benjamin Letham (Meta)</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PeerJ Preprints / Facebook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36zbyuak7tqmg1xbvl3qs">
              <w:r>
                <w:rPr>
                  <w:rStyle w:val="Hyperlink"/>
                  <w:rFonts w:ascii="Arial" w:cs="Arial" w:eastAsia="Arial" w:hAnsi="Arial"/>
                  <w:sz w:val="18"/>
                  <w:szCs w:val="18"/>
                </w:rPr>
                <w:t xml:space="preserve">https://peerj.com/preprints/3190.pdf</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Foundational paper introducing Facebook Prophet for business forecasting with strong seasonality and trend components. Directly applicable to network capacity planning with seasonal traffic patterns.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Core Prophet model implementation reference</w:t>
      </w:r>
    </w:p>
    <w:p>
      <w:pPr>
        <w:pStyle w:val="Heading2"/>
        <w:spacing w:after="100" w:before="250"/>
      </w:pPr>
      <w:r>
        <w:rPr>
          <w:rFonts w:ascii="Arial" w:cs="Arial" w:eastAsia="Arial" w:hAnsi="Arial"/>
          <w:b/>
          <w:bCs/>
          <w:color w:val="2E5090"/>
          <w:sz w:val="24"/>
          <w:szCs w:val="24"/>
        </w:rPr>
        <w:t xml:space="preserve">2. TimesFM: A Decoder-Only Foundation Model for Time-Series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Research / ICML 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ozjbduzzqqvfpaerdvaim">
              <w:r>
                <w:rPr>
                  <w:rStyle w:val="Hyperlink"/>
                  <w:rFonts w:ascii="Arial" w:cs="Arial" w:eastAsia="Arial" w:hAnsi="Arial"/>
                  <w:sz w:val="18"/>
                  <w:szCs w:val="18"/>
                </w:rPr>
                <w:t xml:space="preserve">https://research.google/blog/a-decoder-only-foundation-model-for-time-series-for...</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Foundation model trained on 100B real-world time-points enabling zero-shot forecasting. Represents cutting-edge approach for network traffic prediction across heterogeneous time series.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Zero-shot forecasting for new network interfaces</w:t>
      </w:r>
    </w:p>
    <w:p>
      <w:pPr>
        <w:pStyle w:val="Heading2"/>
        <w:spacing w:after="100" w:before="250"/>
      </w:pPr>
      <w:r>
        <w:rPr>
          <w:rFonts w:ascii="Arial" w:cs="Arial" w:eastAsia="Arial" w:hAnsi="Arial"/>
          <w:b/>
          <w:bCs/>
          <w:color w:val="2E5090"/>
          <w:sz w:val="24"/>
          <w:szCs w:val="24"/>
        </w:rPr>
        <w:t xml:space="preserve">3. A Comprehensive Survey of Time Series Forecasting: Architectural Diversity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arXiv</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sxtwjjslvx9ow84a9fxjb">
              <w:r>
                <w:rPr>
                  <w:rStyle w:val="Hyperlink"/>
                  <w:rFonts w:ascii="Arial" w:cs="Arial" w:eastAsia="Arial" w:hAnsi="Arial"/>
                  <w:sz w:val="18"/>
                  <w:szCs w:val="18"/>
                </w:rPr>
                <w:t xml:space="preserve">https://arxiv.org/html/2411.05793v1</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Comprehensive survey covering architectural diversity in forecasting methods including classical, deep learning, and hybrid approaches applicable to network capacity prediction.</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Architecture selection and comparison framework</w:t>
      </w:r>
    </w:p>
    <w:p>
      <w:r>
        <w:br w:type="page"/>
      </w:r>
    </w:p>
    <w:p>
      <w:pPr>
        <w:pStyle w:val="Heading1"/>
        <w:spacing w:after="200" w:before="300"/>
      </w:pPr>
      <w:r>
        <w:rPr>
          <w:rFonts w:ascii="Arial" w:cs="Arial" w:eastAsia="Arial" w:hAnsi="Arial"/>
          <w:b/>
          <w:bCs/>
          <w:color w:val="1B3A5C"/>
          <w:sz w:val="30"/>
          <w:szCs w:val="30"/>
        </w:rPr>
        <w:t xml:space="preserve">2. Core ML/AI Techniques</w:t>
      </w:r>
    </w:p>
    <w:p>
      <w:pPr>
        <w:pStyle w:val="Heading2"/>
        <w:spacing w:after="100" w:before="250"/>
      </w:pPr>
      <w:r>
        <w:rPr>
          <w:rFonts w:ascii="Arial" w:cs="Arial" w:eastAsia="Arial" w:hAnsi="Arial"/>
          <w:b/>
          <w:bCs/>
          <w:color w:val="2E5090"/>
          <w:sz w:val="24"/>
          <w:szCs w:val="24"/>
        </w:rPr>
        <w:t xml:space="preserve">4. Web Traffic Time Series Forecasting using ARIMA and LSTM RNN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ITM Conference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ITM Web of Conferences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sysgdi8lzccksxkbbop9j">
              <w:r>
                <w:rPr>
                  <w:rStyle w:val="Hyperlink"/>
                  <w:rFonts w:ascii="Arial" w:cs="Arial" w:eastAsia="Arial" w:hAnsi="Arial"/>
                  <w:sz w:val="18"/>
                  <w:szCs w:val="18"/>
                </w:rPr>
                <w:t xml:space="preserve">https://www.itm-conferences.org/articles/itmconf/abs/2020/02/itmconf_icacc2020_0...</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Direct comparison of ARIMA and LSTM for traffic forecasting. Shows LSTM provides superior results on longer datasets while ARIMA remains efficient for simpler patterns.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ARIMA vs LSTM selection criteria for network traffic</w:t>
      </w:r>
    </w:p>
    <w:p>
      <w:pPr>
        <w:pStyle w:val="Heading2"/>
        <w:spacing w:after="100" w:before="250"/>
      </w:pPr>
      <w:r>
        <w:rPr>
          <w:rFonts w:ascii="Arial" w:cs="Arial" w:eastAsia="Arial" w:hAnsi="Arial"/>
          <w:b/>
          <w:bCs/>
          <w:color w:val="2E5090"/>
          <w:sz w:val="24"/>
          <w:szCs w:val="24"/>
        </w:rPr>
        <w:t xml:space="preserve">5. A Review of ARIMA vs. Machine Learning for Time Series Forecasting in Data Driven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MDPI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MDPI / Frontiers in IoT</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uoglmkzmjzv8s4wqxk82l">
              <w:r>
                <w:rPr>
                  <w:rStyle w:val="Hyperlink"/>
                  <w:rFonts w:ascii="Arial" w:cs="Arial" w:eastAsia="Arial" w:hAnsi="Arial"/>
                  <w:sz w:val="18"/>
                  <w:szCs w:val="18"/>
                </w:rPr>
                <w:t xml:space="preserve">https://www.mdpi.com/1999-5903/15/8/255</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Comprehensive comparison of statistical ARIMA versus modern ML approaches (LSTM, Prophet, ensemble) specifically for network data with practical telecom considerations.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Model comparison benchmarks for telecom use cases</w:t>
      </w:r>
    </w:p>
    <w:p>
      <w:pPr>
        <w:pStyle w:val="Heading2"/>
        <w:spacing w:after="100" w:before="250"/>
      </w:pPr>
      <w:r>
        <w:rPr>
          <w:rFonts w:ascii="Arial" w:cs="Arial" w:eastAsia="Arial" w:hAnsi="Arial"/>
          <w:b/>
          <w:bCs/>
          <w:color w:val="2E5090"/>
          <w:sz w:val="24"/>
          <w:szCs w:val="24"/>
        </w:rPr>
        <w:t xml:space="preserve">6. AC-LSTM: Adaptive Clockwork LSTM for Network Traffic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ScienceDirect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ScienceDirect / Elsevier</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t5idkmdo90xvuhqfnzxz">
              <w:r>
                <w:rPr>
                  <w:rStyle w:val="Hyperlink"/>
                  <w:rFonts w:ascii="Arial" w:cs="Arial" w:eastAsia="Arial" w:hAnsi="Arial"/>
                  <w:sz w:val="18"/>
                  <w:szCs w:val="18"/>
                </w:rPr>
                <w:t xml:space="preserve">https://www.sciencedirect.com/science/article/pii/S2949715925000289</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Novel LSTM architecture adapting processing frequency to multi-scale temporal patterns. Shows 20% accuracy improvement and 65% computational reduction for network traffic forecasting.</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Optimized LSTM variant for production traffic prediction</w:t>
      </w:r>
    </w:p>
    <w:p>
      <w:pPr>
        <w:pStyle w:val="Heading2"/>
        <w:spacing w:after="100" w:before="250"/>
      </w:pPr>
      <w:r>
        <w:rPr>
          <w:rFonts w:ascii="Arial" w:cs="Arial" w:eastAsia="Arial" w:hAnsi="Arial"/>
          <w:b/>
          <w:bCs/>
          <w:color w:val="2E5090"/>
          <w:sz w:val="24"/>
          <w:szCs w:val="24"/>
        </w:rPr>
        <w:t xml:space="preserve">7. Ensemble Learning for Time Series Forecasting and the Need for Meta-Learning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arXiv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2021</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arXiv</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epjmrxayt8t_pexlptos">
              <w:r>
                <w:rPr>
                  <w:rStyle w:val="Hyperlink"/>
                  <w:rFonts w:ascii="Arial" w:cs="Arial" w:eastAsia="Arial" w:hAnsi="Arial"/>
                  <w:sz w:val="18"/>
                  <w:szCs w:val="18"/>
                </w:rPr>
                <w:t xml:space="preserve">https://arxiv.org/abs/2104.11475</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Examines 30+ ensemble methods on 16,000+ datasets with meta-learning for automatic ensemble strategy selection; directly applicable to network capacity ensemble forecasting.</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Ensemble strategy selection framework</w:t>
      </w:r>
    </w:p>
    <w:p>
      <w:pPr>
        <w:pStyle w:val="Heading2"/>
        <w:spacing w:after="100" w:before="250"/>
      </w:pPr>
      <w:r>
        <w:rPr>
          <w:rFonts w:ascii="Arial" w:cs="Arial" w:eastAsia="Arial" w:hAnsi="Arial"/>
          <w:b/>
          <w:bCs/>
          <w:color w:val="2E5090"/>
          <w:sz w:val="24"/>
          <w:szCs w:val="24"/>
        </w:rPr>
        <w:t xml:space="preserve">8. Ensemble Modeling for Time Series: Adaptive Robust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arXiv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arXiv</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uebfmmej6nrohh67snu4y">
              <w:r>
                <w:rPr>
                  <w:rStyle w:val="Hyperlink"/>
                  <w:rFonts w:ascii="Arial" w:cs="Arial" w:eastAsia="Arial" w:hAnsi="Arial"/>
                  <w:sz w:val="18"/>
                  <w:szCs w:val="18"/>
                </w:rPr>
                <w:t xml:space="preserve">https://ar5iv.labs.arxiv.org/html/2304.04308</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Adaptive ensemble methods with 16-26% RMSE improvement over best single model. Demonstrates robust optimization for combining forecasting models under uncertainty.</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Ensemble weight optimization for production forecasting</w:t>
      </w:r>
    </w:p>
    <w:p>
      <w:r>
        <w:br w:type="page"/>
      </w:r>
    </w:p>
    <w:p>
      <w:pPr>
        <w:pStyle w:val="Heading1"/>
        <w:spacing w:after="200" w:before="300"/>
      </w:pPr>
      <w:r>
        <w:rPr>
          <w:rFonts w:ascii="Arial" w:cs="Arial" w:eastAsia="Arial" w:hAnsi="Arial"/>
          <w:b/>
          <w:bCs/>
          <w:color w:val="1B3A5C"/>
          <w:sz w:val="30"/>
          <w:szCs w:val="30"/>
        </w:rPr>
        <w:t xml:space="preserve">3. Industry Standards &amp; Vendor White Papers</w:t>
      </w:r>
    </w:p>
    <w:p>
      <w:pPr>
        <w:pStyle w:val="Heading2"/>
        <w:spacing w:after="100" w:before="250"/>
      </w:pPr>
      <w:r>
        <w:rPr>
          <w:rFonts w:ascii="Arial" w:cs="Arial" w:eastAsia="Arial" w:hAnsi="Arial"/>
          <w:b/>
          <w:bCs/>
          <w:color w:val="2E5090"/>
          <w:sz w:val="24"/>
          <w:szCs w:val="24"/>
        </w:rPr>
        <w:t xml:space="preserve">9. RFC 9232 - Network Telemetry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IETF</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2022</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IETF / RFC Editor</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iyug_vy1g_nypnsomrnmr">
              <w:r>
                <w:rPr>
                  <w:rStyle w:val="Hyperlink"/>
                  <w:rFonts w:ascii="Arial" w:cs="Arial" w:eastAsia="Arial" w:hAnsi="Arial"/>
                  <w:sz w:val="18"/>
                  <w:szCs w:val="18"/>
                </w:rPr>
                <w:t xml:space="preserve">https://datatracker.ietf.org/doc/rfc9232/</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IETF standard defining network telemetry architecture for collecting granular network data (flows, metrics, timestamps) essential for accurate time series forecasting inputs.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Standards-compliant telemetry data collection pipeline</w:t>
      </w:r>
    </w:p>
    <w:p>
      <w:pPr>
        <w:pStyle w:val="Heading2"/>
        <w:spacing w:after="100" w:before="250"/>
      </w:pPr>
      <w:r>
        <w:rPr>
          <w:rFonts w:ascii="Arial" w:cs="Arial" w:eastAsia="Arial" w:hAnsi="Arial"/>
          <w:b/>
          <w:bCs/>
          <w:color w:val="2E5090"/>
          <w:sz w:val="24"/>
          <w:szCs w:val="24"/>
        </w:rPr>
        <w:t xml:space="preserve">10. IEEE International Network Generations Roadmap (INGR) 2024 - AI/ML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 Future Networks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dmu-z2qgtzvhjbui9wtf">
              <w:r>
                <w:rPr>
                  <w:rStyle w:val="Hyperlink"/>
                  <w:rFonts w:ascii="Arial" w:cs="Arial" w:eastAsia="Arial" w:hAnsi="Arial"/>
                  <w:sz w:val="18"/>
                  <w:szCs w:val="18"/>
                </w:rPr>
                <w:t xml:space="preserve">https://futurenetworks.ieee.org/roadmap</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Official IEEE roadmap addressing 6G/IMT-2030 vision with focus on intelligent networks, AI/ML-driven capacity planning, and predictive resource allocation.</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Standards alignment for next-gen capacity planning</w:t>
      </w:r>
    </w:p>
    <w:p>
      <w:r>
        <w:br w:type="page"/>
      </w:r>
    </w:p>
    <w:p>
      <w:pPr>
        <w:pStyle w:val="Heading1"/>
        <w:spacing w:after="200" w:before="300"/>
      </w:pPr>
      <w:r>
        <w:rPr>
          <w:rFonts w:ascii="Arial" w:cs="Arial" w:eastAsia="Arial" w:hAnsi="Arial"/>
          <w:b/>
          <w:bCs/>
          <w:color w:val="1B3A5C"/>
          <w:sz w:val="30"/>
          <w:szCs w:val="30"/>
        </w:rPr>
        <w:t xml:space="preserve">4. Production Implementation References</w:t>
      </w:r>
    </w:p>
    <w:p>
      <w:pPr>
        <w:pStyle w:val="Heading2"/>
        <w:spacing w:after="100" w:before="250"/>
      </w:pPr>
      <w:r>
        <w:rPr>
          <w:rFonts w:ascii="Arial" w:cs="Arial" w:eastAsia="Arial" w:hAnsi="Arial"/>
          <w:b/>
          <w:bCs/>
          <w:color w:val="2E5090"/>
          <w:sz w:val="24"/>
          <w:szCs w:val="24"/>
        </w:rPr>
        <w:t xml:space="preserve">11. Deep Learning on Network Traffic Prediction: Recent Advances and Future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ACM Computing Surveys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ACM</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lqb9t9axr6kkxyclwvef2">
              <w:r>
                <w:rPr>
                  <w:rStyle w:val="Hyperlink"/>
                  <w:rFonts w:ascii="Arial" w:cs="Arial" w:eastAsia="Arial" w:hAnsi="Arial"/>
                  <w:sz w:val="18"/>
                  <w:szCs w:val="18"/>
                </w:rPr>
                <w:t xml:space="preserve">https://dl.acm.org/doi/10.1145/3703447</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ACM survey covering production-ready deep learning for network traffic prediction including CNNs, RNNs, attention, and integration into network management systems.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Production deployment patterns for DL forecasting</w:t>
      </w:r>
    </w:p>
    <w:p>
      <w:pPr>
        <w:pStyle w:val="Heading2"/>
        <w:spacing w:after="100" w:before="250"/>
      </w:pPr>
      <w:r>
        <w:rPr>
          <w:rFonts w:ascii="Arial" w:cs="Arial" w:eastAsia="Arial" w:hAnsi="Arial"/>
          <w:b/>
          <w:bCs/>
          <w:color w:val="2E5090"/>
          <w:sz w:val="24"/>
          <w:szCs w:val="24"/>
        </w:rPr>
        <w:t xml:space="preserve">12. Improving Traffic Forecasting for 5G Core Network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2019</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otlkwl6cdt5oibwzvynuo">
              <w:r>
                <w:rPr>
                  <w:rStyle w:val="Hyperlink"/>
                  <w:rFonts w:ascii="Arial" w:cs="Arial" w:eastAsia="Arial" w:hAnsi="Arial"/>
                  <w:sz w:val="18"/>
                  <w:szCs w:val="18"/>
                </w:rPr>
                <w:t xml:space="preserve">https://ieeexplore.ieee.org/document/8553653/</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Practical implementation of ML-based traffic forecasting for 5G core network resource scaling, demonstrating real telecom production use case with specific architectures.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5G core capacity scaling reference implementation</w:t>
      </w:r>
    </w:p>
    <w:p>
      <w:r>
        <w:br w:type="page"/>
      </w:r>
    </w:p>
    <w:p>
      <w:pPr>
        <w:pStyle w:val="Heading1"/>
        <w:spacing w:after="200" w:before="200"/>
      </w:pPr>
      <w:r>
        <w:rPr>
          <w:rFonts w:ascii="Arial" w:cs="Arial" w:eastAsia="Arial" w:hAnsi="Arial"/>
          <w:b/>
          <w:bCs/>
          <w:color w:val="1B3A5C"/>
          <w:sz w:val="30"/>
          <w:szCs w:val="30"/>
        </w:rPr>
        <w:t xml:space="preserve">Implementation Readiness Matrix</w:t>
      </w:r>
    </w:p>
    <w:p>
      <w:pPr>
        <w:spacing w:after="200"/>
      </w:pPr>
      <w:r>
        <w:rPr>
          <w:rFonts w:ascii="Arial" w:cs="Arial" w:eastAsia="Arial" w:hAnsi="Arial"/>
          <w:sz w:val="22"/>
          <w:szCs w:val="22"/>
        </w:rPr>
        <w:t xml:space="preserve">The following matrix maps each reference to its production readiness contribution across 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250"/>
        <w:gridCol w:w="1250"/>
        <w:gridCol w:w="1250"/>
        <w:gridCol w:w="1250"/>
      </w:tblGrid>
      <w:tr>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Theory</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Deploy</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Forecasting at Scale (Facebook Prophet)</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TimesFM: A Decoder-Only Foundation Model for ...</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Comprehensive Survey of Time Series Forecas...</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Web Traffic Time Series Forecasting using ARI...</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Review of ARIMA vs. Machine Learning for Ti...</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AC-LSTM: Adaptive Clockwork LSTM for Network ...</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Ensemble Learning for Time Series Forecasting...</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Ensemble Modeling for Time Series: Adaptive R...</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RFC 9232 - Network Telemetry Framework</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IEEE International Network Generations Roadma...</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Learning on Network Traffic Prediction: ...</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Improving Traffic Forecasting for 5G Core Net...</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White Papers &amp; References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888888"/>
        <w:sz w:val="18"/>
        <w:szCs w:val="18"/>
      </w:rPr>
      <w:t xml:space="preserve">CMI NaaP | Predictive Capacity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6zbyuak7tqmg1xbvl3qs" Type="http://schemas.openxmlformats.org/officeDocument/2006/relationships/hyperlink" Target="https://peerj.com/preprints/3190.pdf" TargetMode="External"/><Relationship Id="rIdozjbduzzqqvfpaerdvaim" Type="http://schemas.openxmlformats.org/officeDocument/2006/relationships/hyperlink" Target="https://research.google/blog/a-decoder-only-foundation-model-for-time-series-forecasting/" TargetMode="External"/><Relationship Id="rIdsxtwjjslvx9ow84a9fxjb" Type="http://schemas.openxmlformats.org/officeDocument/2006/relationships/hyperlink" Target="https://arxiv.org/html/2411.05793v1" TargetMode="External"/><Relationship Id="rIdsysgdi8lzccksxkbbop9j" Type="http://schemas.openxmlformats.org/officeDocument/2006/relationships/hyperlink" Target="https://www.itm-conferences.org/articles/itmconf/abs/2020/02/itmconf_icacc2020_03017/itmconf_icacc2020_03017.html" TargetMode="External"/><Relationship Id="rIduoglmkzmjzv8s4wqxk82l" Type="http://schemas.openxmlformats.org/officeDocument/2006/relationships/hyperlink" Target="https://www.mdpi.com/1999-5903/15/8/255" TargetMode="External"/><Relationship Id="rIdht5idkmdo90xvuhqfnzxz" Type="http://schemas.openxmlformats.org/officeDocument/2006/relationships/hyperlink" Target="https://www.sciencedirect.com/science/article/pii/S2949715925000289" TargetMode="External"/><Relationship Id="rIdbepjmrxayt8t_pexlptos" Type="http://schemas.openxmlformats.org/officeDocument/2006/relationships/hyperlink" Target="https://arxiv.org/abs/2104.11475" TargetMode="External"/><Relationship Id="rIduebfmmej6nrohh67snu4y" Type="http://schemas.openxmlformats.org/officeDocument/2006/relationships/hyperlink" Target="https://ar5iv.labs.arxiv.org/html/2304.04308" TargetMode="External"/><Relationship Id="rIdiyug_vy1g_nypnsomrnmr" Type="http://schemas.openxmlformats.org/officeDocument/2006/relationships/hyperlink" Target="https://datatracker.ietf.org/doc/rfc9232/" TargetMode="External"/><Relationship Id="rIdcdmu-z2qgtzvhjbui9wtf" Type="http://schemas.openxmlformats.org/officeDocument/2006/relationships/hyperlink" Target="https://futurenetworks.ieee.org/roadmap" TargetMode="External"/><Relationship Id="rIdlqb9t9axr6kkxyclwvef2" Type="http://schemas.openxmlformats.org/officeDocument/2006/relationships/hyperlink" Target="https://dl.acm.org/doi/10.1145/3703447" TargetMode="External"/><Relationship Id="rIdotlkwl6cdt5oibwzvynuo" Type="http://schemas.openxmlformats.org/officeDocument/2006/relationships/hyperlink" Target="https://ieeexplore.ieee.org/document/8553653/"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2026-03-25T13:09:42.395Z</dcterms:created>
  <dcterms:modified xsi:type="dcterms:W3CDTF">2026-03-25T13:09:42.395Z</dcterms:modified>
</cp:coreProperties>
</file>

<file path=docProps/custom.xml><?xml version="1.0" encoding="utf-8"?>
<Properties xmlns="http://schemas.openxmlformats.org/officeDocument/2006/custom-properties" xmlns:vt="http://schemas.openxmlformats.org/officeDocument/2006/docPropsVTypes"/>
</file>