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color w:val="2E75B6"/>
          <w:sz w:val="28"/>
          <w:szCs w:val="28"/>
        </w:rPr>
        <w:t xml:space="preserve">CMI NaaP AI Network Intelligence</w:t>
      </w:r>
    </w:p>
    <w:p>
      <w:pPr>
        <w:spacing w:after="80"/>
        <w:jc w:val="center"/>
      </w:pPr>
      <w:r>
        <w:rPr>
          <w:rFonts w:ascii="Arial" w:cs="Arial" w:eastAsia="Arial" w:hAnsi="Arial"/>
          <w:b/>
          <w:bCs/>
          <w:color w:val="1B3A5C"/>
          <w:sz w:val="48"/>
          <w:szCs w:val="48"/>
        </w:rPr>
        <w:t xml:space="preserve">Risk Register</w:t>
      </w:r>
    </w:p>
    <w:p>
      <w:pPr>
        <w:pBdr>
          <w:top w:val="single" w:color="2E75B6" w:sz="2" w:space="8"/>
        </w:pBdr>
        <w:spacing w:before="200"/>
        <w:jc w:val="center"/>
      </w:pPr>
      <w:r>
        <w:rPr>
          <w:rFonts w:ascii="Arial" w:cs="Arial" w:eastAsia="Arial" w:hAnsi="Arial"/>
          <w:color w:val="475569"/>
          <w:sz w:val="22"/>
          <w:szCs w:val="22"/>
        </w:rPr>
        <w:t xml:space="preserve">Portfolio Risk Register</w:t>
      </w:r>
    </w:p>
    <w:p>
      <w:pPr>
        <w:spacing w:before="800"/>
      </w:pPr>
    </w:p>
    <w:p>
      <w:pPr>
        <w:jc w:val="center"/>
      </w:pPr>
      <w:r>
        <w:rPr>
          <w:rFonts w:ascii="Arial" w:cs="Arial" w:eastAsia="Arial" w:hAnsi="Arial"/>
          <w:color w:val="1E293B"/>
          <w:sz w:val="22"/>
          <w:szCs w:val="22"/>
        </w:rPr>
        <w:t xml:space="preserve">Prepared by: Alpit Tare</w:t>
      </w:r>
    </w:p>
    <w:p>
      <w:pPr>
        <w:spacing w:after="60"/>
        <w:jc w:val="center"/>
      </w:pPr>
      <w:r>
        <w:rPr>
          <w:rFonts w:ascii="Arial" w:cs="Arial" w:eastAsia="Arial" w:hAnsi="Arial"/>
          <w:color w:val="475569"/>
          <w:sz w:val="22"/>
          <w:szCs w:val="22"/>
        </w:rPr>
        <w:t xml:space="preserve">Date: March 22, 2026 | Version: 1.0</w:t>
      </w:r>
    </w:p>
    <w:p>
      <w:r>
        <w:br w:type="page"/>
      </w:r>
    </w:p>
    <w:p>
      <w:pPr>
        <w:pStyle w:val="Heading1"/>
        <w:spacing w:before="360" w:after="200"/>
      </w:pPr>
      <w:r>
        <w:rPr>
          <w:rFonts w:ascii="Arial" w:cs="Arial" w:eastAsia="Arial" w:hAnsi="Arial"/>
          <w:b/>
          <w:bCs/>
          <w:color w:val="1B3A5C"/>
          <w:sz w:val="32"/>
          <w:szCs w:val="32"/>
        </w:rPr>
        <w:t xml:space="preserve">CMI NaaP AI Network Intelligence Project Portfolio</w:t>
      </w:r>
    </w:p>
    <w:p>
      <w:pPr>
        <w:pStyle w:val="Heading2"/>
        <w:spacing w:before="280" w:after="160"/>
      </w:pPr>
      <w:r>
        <w:rPr>
          <w:rFonts w:ascii="Arial" w:cs="Arial" w:eastAsia="Arial" w:hAnsi="Arial"/>
          <w:b/>
          <w:bCs/>
          <w:color w:val="2E75B6"/>
          <w:sz w:val="26"/>
          <w:szCs w:val="26"/>
        </w:rPr>
        <w:t xml:space="preserve">Risk Register</w:t>
      </w:r>
    </w:p>
    <w:p>
      <w:pPr>
        <w:spacing w:after="120" w:line="276"/>
      </w:pPr>
      <w:r>
        <w:rPr>
          <w:rFonts w:ascii="Arial" w:cs="Arial" w:eastAsia="Arial" w:hAnsi="Arial"/>
          <w:b/>
          <w:bCs/>
          <w:color w:val="1E293B"/>
          <w:sz w:val="22"/>
          <w:szCs w:val="22"/>
        </w:rPr>
        <w:t xml:space="preserve">Document Version:</w:t>
      </w:r>
      <w:r>
        <w:rPr>
          <w:rFonts w:ascii="Arial" w:cs="Arial" w:eastAsia="Arial" w:hAnsi="Arial"/>
          <w:color w:val="1E293B"/>
          <w:sz w:val="22"/>
          <w:szCs w:val="22"/>
        </w:rPr>
        <w:t xml:space="preserve"> 1.0</w:t>
      </w:r>
    </w:p>
    <w:p>
      <w:pPr>
        <w:spacing w:after="120" w:line="276"/>
      </w:pPr>
      <w:r>
        <w:rPr>
          <w:rFonts w:ascii="Arial" w:cs="Arial" w:eastAsia="Arial" w:hAnsi="Arial"/>
          <w:b/>
          <w:bCs/>
          <w:color w:val="1E293B"/>
          <w:sz w:val="22"/>
          <w:szCs w:val="22"/>
        </w:rPr>
        <w:t xml:space="preserve">Last Updated:</w:t>
      </w:r>
      <w:r>
        <w:rPr>
          <w:rFonts w:ascii="Arial" w:cs="Arial" w:eastAsia="Arial" w:hAnsi="Arial"/>
          <w:color w:val="1E293B"/>
          <w:sz w:val="22"/>
          <w:szCs w:val="22"/>
        </w:rPr>
        <w:t xml:space="preserve"> 2026-03-21</w:t>
      </w:r>
    </w:p>
    <w:p>
      <w:pPr>
        <w:spacing w:after="120" w:line="276"/>
      </w:pPr>
      <w:r>
        <w:rPr>
          <w:rFonts w:ascii="Arial" w:cs="Arial" w:eastAsia="Arial" w:hAnsi="Arial"/>
          <w:b/>
          <w:bCs/>
          <w:color w:val="1E293B"/>
          <w:sz w:val="22"/>
          <w:szCs w:val="22"/>
        </w:rPr>
        <w:t xml:space="preserve">Prepared By:</w:t>
      </w:r>
      <w:r>
        <w:rPr>
          <w:rFonts w:ascii="Arial" w:cs="Arial" w:eastAsia="Arial" w:hAnsi="Arial"/>
          <w:color w:val="1E293B"/>
          <w:sz w:val="22"/>
          <w:szCs w:val="22"/>
        </w:rPr>
        <w:t xml:space="preserve"> Portfolio Management Office</w:t>
      </w:r>
    </w:p>
    <w:p>
      <w:pPr>
        <w:spacing w:after="120" w:line="276"/>
      </w:pPr>
      <w:r>
        <w:rPr>
          <w:rFonts w:ascii="Arial" w:cs="Arial" w:eastAsia="Arial" w:hAnsi="Arial"/>
          <w:b/>
          <w:bCs/>
          <w:color w:val="1E293B"/>
          <w:sz w:val="22"/>
          <w:szCs w:val="22"/>
        </w:rPr>
        <w:t xml:space="preserve">Classification:</w:t>
      </w:r>
      <w:r>
        <w:rPr>
          <w:rFonts w:ascii="Arial" w:cs="Arial" w:eastAsia="Arial" w:hAnsi="Arial"/>
          <w:color w:val="1E293B"/>
          <w:sz w:val="22"/>
          <w:szCs w:val="22"/>
        </w:rPr>
        <w:t xml:space="preserve"> Internal - Confidential</w:t>
      </w:r>
    </w:p>
    <w:p>
      <w:pPr>
        <w:spacing w:after="120" w:line="276"/>
      </w:pPr>
      <w:r>
        <w:rPr>
          <w:rFonts w:ascii="Arial" w:cs="Arial" w:eastAsia="Arial" w:hAnsi="Arial"/>
          <w:color w:val="1E293B"/>
          <w:sz w:val="22"/>
          <w:szCs w:val="22"/>
        </w:rPr>
        <w:t xml:space="preserve">---</w:t>
      </w:r>
    </w:p>
    <w:p>
      <w:pPr>
        <w:pStyle w:val="Heading2"/>
        <w:spacing w:before="280" w:after="160"/>
      </w:pPr>
      <w:r>
        <w:rPr>
          <w:rFonts w:ascii="Arial" w:cs="Arial" w:eastAsia="Arial" w:hAnsi="Arial"/>
          <w:b/>
          <w:bCs/>
          <w:color w:val="2E75B6"/>
          <w:sz w:val="26"/>
          <w:szCs w:val="26"/>
        </w:rPr>
        <w:t xml:space="preserve">Executive Summary</w:t>
      </w:r>
    </w:p>
    <w:p>
      <w:pPr>
        <w:spacing w:after="120" w:line="276"/>
      </w:pPr>
      <w:r>
        <w:rPr>
          <w:rFonts w:ascii="Arial" w:cs="Arial" w:eastAsia="Arial" w:hAnsi="Arial"/>
          <w:color w:val="1E293B"/>
          <w:sz w:val="22"/>
          <w:szCs w:val="22"/>
        </w:rPr>
        <w:t xml:space="preserve">This risk register documents identified risks across all six projects in the CMI NaaP AI Network Intelligence portfolio. A total of 18 risks have been catalogued, assessed, and prioritized. The portfolio faces significant technical and integration challenges, with particular concern on ML model accuracy, Kafka pipeline reliability, and LLM safety controls. Top 5 priority risks require immediate mitigation action and executive sponsorship.</w:t>
      </w:r>
    </w:p>
    <w:p>
      <w:pPr>
        <w:spacing w:after="120" w:line="276"/>
      </w:pPr>
      <w:r>
        <w:rPr>
          <w:rFonts w:ascii="Arial" w:cs="Arial" w:eastAsia="Arial" w:hAnsi="Arial"/>
          <w:color w:val="1E293B"/>
          <w:sz w:val="22"/>
          <w:szCs w:val="22"/>
        </w:rPr>
        <w:t xml:space="preserve">---</w:t>
      </w:r>
    </w:p>
    <w:p>
      <w:pPr>
        <w:pStyle w:val="Heading2"/>
        <w:spacing w:before="280" w:after="160"/>
      </w:pPr>
      <w:r>
        <w:rPr>
          <w:rFonts w:ascii="Arial" w:cs="Arial" w:eastAsia="Arial" w:hAnsi="Arial"/>
          <w:b/>
          <w:bCs/>
          <w:color w:val="2E75B6"/>
          <w:sz w:val="26"/>
          <w:szCs w:val="26"/>
        </w:rPr>
        <w:t xml:space="preserve">Risk Categories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234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234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Avg. Risk Score</w:t>
            </w:r>
          </w:p>
        </w:tc>
        <w:tc>
          <w:tcPr>
            <w:tcW w:type="dxa" w:w="234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3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Technical</w:t>
            </w:r>
          </w:p>
        </w:tc>
        <w:tc>
          <w:tcPr>
            <w:tcW w:type="dxa" w:w="23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5</w:t>
            </w:r>
          </w:p>
        </w:tc>
        <w:tc>
          <w:tcPr>
            <w:tcW w:type="dxa" w:w="23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20</w:t>
            </w:r>
          </w:p>
        </w:tc>
        <w:tc>
          <w:tcPr>
            <w:tcW w:type="dxa" w:w="23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High</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Integration</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4</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18</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High</w:t>
            </w:r>
          </w:p>
        </w:tc>
      </w:tr>
      <w:tr>
        <w:tc>
          <w:tcPr>
            <w:tcW w:type="dxa" w:w="23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Security</w:t>
            </w:r>
          </w:p>
        </w:tc>
        <w:tc>
          <w:tcPr>
            <w:tcW w:type="dxa" w:w="23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3</w:t>
            </w:r>
          </w:p>
        </w:tc>
        <w:tc>
          <w:tcPr>
            <w:tcW w:type="dxa" w:w="23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19</w:t>
            </w:r>
          </w:p>
        </w:tc>
        <w:tc>
          <w:tcPr>
            <w:tcW w:type="dxa" w:w="23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High</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Data</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3</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17</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Medium</w:t>
            </w:r>
          </w:p>
        </w:tc>
      </w:tr>
      <w:tr>
        <w:tc>
          <w:tcPr>
            <w:tcW w:type="dxa" w:w="23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Resource</w:t>
            </w:r>
          </w:p>
        </w:tc>
        <w:tc>
          <w:tcPr>
            <w:tcW w:type="dxa" w:w="23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2</w:t>
            </w:r>
          </w:p>
        </w:tc>
        <w:tc>
          <w:tcPr>
            <w:tcW w:type="dxa" w:w="23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14</w:t>
            </w:r>
          </w:p>
        </w:tc>
        <w:tc>
          <w:tcPr>
            <w:tcW w:type="dxa" w:w="234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Medium</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Operational</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1</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12</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Low</w:t>
            </w:r>
          </w:p>
        </w:tc>
      </w:tr>
    </w:tbl>
    <w:p>
      <w:pPr>
        <w:spacing w:after="160"/>
      </w:pPr>
    </w:p>
    <w:p>
      <w:pPr>
        <w:spacing w:after="120" w:line="276"/>
      </w:pPr>
      <w:r>
        <w:rPr>
          <w:rFonts w:ascii="Arial" w:cs="Arial" w:eastAsia="Arial" w:hAnsi="Arial"/>
          <w:color w:val="1E293B"/>
          <w:sz w:val="22"/>
          <w:szCs w:val="22"/>
        </w:rPr>
        <w:t xml:space="preserve">---</w:t>
      </w:r>
    </w:p>
    <w:p>
      <w:pPr>
        <w:pStyle w:val="Heading2"/>
        <w:spacing w:before="280" w:after="160"/>
      </w:pPr>
      <w:r>
        <w:rPr>
          <w:rFonts w:ascii="Arial" w:cs="Arial" w:eastAsia="Arial" w:hAnsi="Arial"/>
          <w:b/>
          <w:bCs/>
          <w:color w:val="2E75B6"/>
          <w:sz w:val="26"/>
          <w:szCs w:val="26"/>
        </w:rPr>
        <w:t xml:space="preserve">Detailed Risk Register</w:t>
      </w:r>
    </w:p>
    <w:p>
      <w:pPr>
        <w:pStyle w:val="Heading3"/>
        <w:spacing w:before="280" w:after="160"/>
      </w:pPr>
      <w:r>
        <w:rPr>
          <w:rFonts w:ascii="Arial" w:cs="Arial" w:eastAsia="Arial" w:hAnsi="Arial"/>
          <w:b/>
          <w:bCs/>
          <w:color w:val="1E293B"/>
          <w:sz w:val="22"/>
          <w:szCs w:val="22"/>
        </w:rPr>
        <w:t xml:space="preserve">TECHNICAL RISKS</w:t>
      </w:r>
    </w:p>
    <w:p>
      <w:pPr>
        <w:pStyle w:val="Heading3"/>
        <w:spacing w:before="280" w:after="160"/>
      </w:pPr>
      <w:r>
        <w:rPr>
          <w:rFonts w:ascii="Arial" w:cs="Arial" w:eastAsia="Arial" w:hAnsi="Arial"/>
          <w:b/>
          <w:bCs/>
          <w:color w:val="1E293B"/>
          <w:sz w:val="22"/>
          <w:szCs w:val="22"/>
        </w:rPr>
        <w:t xml:space="preserve">RISK-T01: Neo4j Graph Database Scaling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Project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Graph Intelligence Engine</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Category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Technical</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Description</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Neo4j performance degradation under large-scale graph traversals (&gt;100M nodes) and complex query patterns. Initial benchmarks show 3-5 second query latency at production scale, exceeding 500ms target.</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Probability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High (4/5)</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Impact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High (4/5)</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Risk Score</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16</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Mitigation Strategy</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 Implement graph sharding strategy with partition key optimization&lt;br&gt;- Conduct extended load testing with representative data volumes (200M nodes)&lt;br&gt;- Evaluate Neo4j Enterprise Graph Database features (causal clustering)&lt;br&gt;- Design caching layer using Redis for frequent traversals&lt;br&gt;- Establish query optimization patterns and code review guidelines</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Owner</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Tech Lead - Graph DB Team</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Status</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In Progress</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Target Resolution</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Q2 2026</w:t>
            </w:r>
          </w:p>
        </w:tc>
      </w:tr>
    </w:tbl>
    <w:p>
      <w:pPr>
        <w:spacing w:after="160"/>
      </w:pPr>
    </w:p>
    <w:p>
      <w:pPr>
        <w:pStyle w:val="Heading3"/>
        <w:spacing w:before="280" w:after="160"/>
      </w:pPr>
      <w:r>
        <w:rPr>
          <w:rFonts w:ascii="Arial" w:cs="Arial" w:eastAsia="Arial" w:hAnsi="Arial"/>
          <w:b/>
          <w:bCs/>
          <w:color w:val="1E293B"/>
          <w:sz w:val="22"/>
          <w:szCs w:val="22"/>
        </w:rPr>
        <w:t xml:space="preserve">RISK-T02: ML Model Accuracy and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Project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Predictive Analytics Engine</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Category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Technical</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Description</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ML models trained on historical network data show 78% accuracy in validation but may degrade in production due to data drift, seasonal variations, and model staleness. No drift detection mechanism currently implemented.</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Probability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High (4/5)</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Impact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High (4/5)</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Risk Score</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16</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Mitigation Strategy</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 Implement automated model monitoring and drift detection (using evidently-ai or similar)&lt;br&gt;- Establish retraining pipeline triggered by performance thresholds (accuracy &lt; 75%)&lt;br&gt;- Deploy A/B testing framework to compare model versions&lt;br&gt;- Create feedback loop for model predictions with actual outcomes&lt;br&gt;- Document model versioning and rollback procedures&lt;br&gt;- Quarterly model performance reviews and retraining cadence</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Owner</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ML Engineering Lead</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Status</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Planning</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Target Resolution</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Q2 2026</w:t>
            </w:r>
          </w:p>
        </w:tc>
      </w:tr>
    </w:tbl>
    <w:p>
      <w:pPr>
        <w:spacing w:after="160"/>
      </w:pPr>
    </w:p>
    <w:p>
      <w:pPr>
        <w:pStyle w:val="Heading3"/>
        <w:spacing w:before="280" w:after="160"/>
      </w:pPr>
      <w:r>
        <w:rPr>
          <w:rFonts w:ascii="Arial" w:cs="Arial" w:eastAsia="Arial" w:hAnsi="Arial"/>
          <w:b/>
          <w:bCs/>
          <w:color w:val="1E293B"/>
          <w:sz w:val="22"/>
          <w:szCs w:val="22"/>
        </w:rPr>
        <w:t xml:space="preserve">RISK-T03: Kafka Pipeline Reliability and Message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Project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Real-time Event Streaming</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Category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Technical</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Description</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Kafka cluster handling 50K+ events/second across 6 topics. Risk of message loss during broker failures, network partitions, or surge conditions. Current replication factor=2; no dead-letter queue or replay mechanism for failed events.</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Probability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Medium (3/5)</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Impact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High (4/5)</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Risk Score</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12</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Mitigation Strategy</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 Increase replication factor to 3 (minimum) for critical topics&lt;br&gt;- Implement dead-letter queue (DLQ) pattern with automated alerts&lt;br&gt;- Deploy Kafka monitoring stack (Kafka Manager + Prometheus)&lt;br&gt;- Establish event replay capability from topic retention buffer (30-day retention)&lt;br&gt;- Document Kafka disaster recovery procedures&lt;br&gt;- Implement consumer group offset management and monitoring&lt;br&gt;- Load test Kafka cluster at 2x anticipated peak capacity</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Owner</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Platform Engineering Lead</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Status</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Design Phase</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Target Resolution</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Q2 2026</w:t>
            </w:r>
          </w:p>
        </w:tc>
      </w:tr>
    </w:tbl>
    <w:p>
      <w:pPr>
        <w:spacing w:after="160"/>
      </w:pPr>
    </w:p>
    <w:p>
      <w:pPr>
        <w:pStyle w:val="Heading3"/>
        <w:spacing w:before="280" w:after="160"/>
      </w:pPr>
      <w:r>
        <w:rPr>
          <w:rFonts w:ascii="Arial" w:cs="Arial" w:eastAsia="Arial" w:hAnsi="Arial"/>
          <w:b/>
          <w:bCs/>
          <w:color w:val="1E293B"/>
          <w:sz w:val="22"/>
          <w:szCs w:val="22"/>
        </w:rPr>
        <w:t xml:space="preserve">RISK-T04: Ansible Execution Safety and Idempotency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Project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Infrastructure Automation</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Category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Technical</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Description</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Ansible playbooks for infrastructure provisioning and configuration lack comprehensive idempotency testing. Risk of state divergence, partial executions, and unintended side effects during production deployments. No dry-run validation in CI/CD pipeline.</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Probability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Medium (3/5)</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Impact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Medium (3/5)</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Risk Score</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9</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Mitigation Strategy</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 Implement comprehensive Ansible testing framework (ansible-test, molecule)&lt;br&gt;- Add dry-run mode validation in CI/CD before production execution&lt;br&gt;- Establish idempotency verification for all playbooks (check mode testing)&lt;br&gt;- Create rollback playbooks for all infrastructure changes&lt;br&gt;- Implement change approval workflow (CAB review)&lt;br&gt;- Document Ansible variable precedence and inventory management&lt;br&gt;- Establish canary deployment pattern for infrastructure changes</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Owner</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DevOps Engineer Lead</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Status</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Planning</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Target Resolution</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Q2 2026</w:t>
            </w:r>
          </w:p>
        </w:tc>
      </w:tr>
    </w:tbl>
    <w:p>
      <w:pPr>
        <w:spacing w:after="160"/>
      </w:pPr>
    </w:p>
    <w:p>
      <w:pPr>
        <w:pStyle w:val="Heading3"/>
        <w:spacing w:before="280" w:after="160"/>
      </w:pPr>
      <w:r>
        <w:rPr>
          <w:rFonts w:ascii="Arial" w:cs="Arial" w:eastAsia="Arial" w:hAnsi="Arial"/>
          <w:b/>
          <w:bCs/>
          <w:color w:val="1E293B"/>
          <w:sz w:val="22"/>
          <w:szCs w:val="22"/>
        </w:rPr>
        <w:t xml:space="preserve">RISK-T05: LLM Hallucination and Output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Project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Intelligent Alerting &amp; Insights</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Category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Technical</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Description</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LLM models (OpenAI GPT-4) generating network intelligence summaries may produce false information, misinterpretations, or confident statements about uncertain data. User trust erosion risk and potential incorrect operational decisions based on hallucinated insights.</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Probability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High (4/5)</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Impact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Medium (3/5)</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Risk Score</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12</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Mitigation Strategy</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 Implement fact-checking pipeline: cross-reference LLM outputs against source data&lt;br&gt;- Deploy confidence scoring and uncertainty quantification for LLM responses&lt;br&gt;- Establish user feedback loop for correction and model refinement&lt;br&gt;- Document known limitations and hallucination patterns&lt;br&gt;- Implement retrieval-augmented generation (RAG) with grounding to factual network data&lt;br&gt;- Create human review process for high-impact insights (threshold-based)&lt;br&gt;- Implement output validation rules and pattern matching for suspicious outputs</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Owner</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AI/ML Safety Officer</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Status</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Design Phase</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Target Resolution</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Q2 2026</w:t>
            </w:r>
          </w:p>
        </w:tc>
      </w:tr>
    </w:tbl>
    <w:p>
      <w:pPr>
        <w:spacing w:after="160"/>
      </w:pPr>
    </w:p>
    <w:p>
      <w:pPr>
        <w:spacing w:after="120" w:line="276"/>
      </w:pPr>
      <w:r>
        <w:rPr>
          <w:rFonts w:ascii="Arial" w:cs="Arial" w:eastAsia="Arial" w:hAnsi="Arial"/>
          <w:color w:val="1E293B"/>
          <w:sz w:val="22"/>
          <w:szCs w:val="22"/>
        </w:rPr>
        <w:t xml:space="preserve">---</w:t>
      </w:r>
    </w:p>
    <w:p>
      <w:pPr>
        <w:pStyle w:val="Heading3"/>
        <w:spacing w:before="280" w:after="160"/>
      </w:pPr>
      <w:r>
        <w:rPr>
          <w:rFonts w:ascii="Arial" w:cs="Arial" w:eastAsia="Arial" w:hAnsi="Arial"/>
          <w:b/>
          <w:bCs/>
          <w:color w:val="1E293B"/>
          <w:sz w:val="22"/>
          <w:szCs w:val="22"/>
        </w:rPr>
        <w:t xml:space="preserve">INTEGRATION RISKS</w:t>
      </w:r>
    </w:p>
    <w:p>
      <w:pPr>
        <w:pStyle w:val="Heading3"/>
        <w:spacing w:before="280" w:after="160"/>
      </w:pPr>
      <w:r>
        <w:rPr>
          <w:rFonts w:ascii="Arial" w:cs="Arial" w:eastAsia="Arial" w:hAnsi="Arial"/>
          <w:b/>
          <w:bCs/>
          <w:color w:val="1E293B"/>
          <w:sz w:val="22"/>
          <w:szCs w:val="22"/>
        </w:rPr>
        <w:t xml:space="preserve">RISK-I01: Multi-System Data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Project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Data Lake &amp; Analytics Hub</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Category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Integration</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Description</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Data flows between Neo4j, MongoDB, Kafka, and DW differ in consistency guarantees. Risk of eventual consistency windows introducing data contradictions (&gt;5 minute lag observed in test environments). End-to-end traceability limited.</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Probability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High (4/5)</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Impact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High (4/5)</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Risk Score</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16</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Mitigation Strategy</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 Implement event sourcing pattern with event store (immutable log)&lt;br&gt;- Establish data reconciliation process (nightly, with alerts for discrepancies)&lt;br&gt;- Deploy distributed tracing (OpenTelemetry) across all systems&lt;br&gt;- Create data lineage documentation and automated tracking&lt;br&gt;- Implement message correlation IDs for end-to-end tracking&lt;br&gt;- Establish eventual consistency SLAs with monitoring dashboards&lt;br&gt;- Create compensating transaction mechanism for conflict resolution</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Owner</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Data Architecture Lead</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Status</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In Progress</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Target Resolution</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Q2 2026</w:t>
            </w:r>
          </w:p>
        </w:tc>
      </w:tr>
    </w:tbl>
    <w:p>
      <w:pPr>
        <w:spacing w:after="160"/>
      </w:pPr>
    </w:p>
    <w:p>
      <w:pPr>
        <w:pStyle w:val="Heading3"/>
        <w:spacing w:before="280" w:after="160"/>
      </w:pPr>
      <w:r>
        <w:rPr>
          <w:rFonts w:ascii="Arial" w:cs="Arial" w:eastAsia="Arial" w:hAnsi="Arial"/>
          <w:b/>
          <w:bCs/>
          <w:color w:val="1E293B"/>
          <w:sz w:val="22"/>
          <w:szCs w:val="22"/>
        </w:rPr>
        <w:t xml:space="preserve">RISK-I02: API Contract Breaking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Project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API Gateway &amp; Orchestration</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Category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Integration</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Description</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Microservices communicate via REST/gRPC with insufficient versioning controls. Risk of breaking changes during updates affecting downstream consumers. No API versioning strategy or compatibility testing.</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Probability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Medium (3/5)</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Impact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Medium (3/5)</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Risk Score</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9</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Mitigation Strategy</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 Implement API versioning strategy (URL path versioning: /v1/, /v2/)&lt;br&gt;- Establish API contract testing using Pact or Postman&lt;br&gt;- Create API deprecation policy (6-month notice minimum)&lt;br&gt;- Deploy API gateway with version routing (Kong or AWS API Gateway)&lt;br&gt;- Implement backward compatibility testing in CI/CD pipeline&lt;br&gt;- Document API contracts with OpenAPI/Swagger specifications&lt;br&gt;- Establish API review board for breaking change approval</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Owner</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API Platform Lead</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Status</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Design Phase</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Target Resolution</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Q2 2026</w:t>
            </w:r>
          </w:p>
        </w:tc>
      </w:tr>
    </w:tbl>
    <w:p>
      <w:pPr>
        <w:spacing w:after="160"/>
      </w:pPr>
    </w:p>
    <w:p>
      <w:pPr>
        <w:pStyle w:val="Heading3"/>
        <w:spacing w:before="280" w:after="160"/>
      </w:pPr>
      <w:r>
        <w:rPr>
          <w:rFonts w:ascii="Arial" w:cs="Arial" w:eastAsia="Arial" w:hAnsi="Arial"/>
          <w:b/>
          <w:bCs/>
          <w:color w:val="1E293B"/>
          <w:sz w:val="22"/>
          <w:szCs w:val="22"/>
        </w:rPr>
        <w:t xml:space="preserve">RISK-I03: Kafka-to-DW Integration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Project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Real-time Event Streaming</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Category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Integration</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Description</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Current Kafka to Data Warehouse pipeline (using Debezium + Spark) shows 15-30 minute end-to-end latency. Business requires &lt;5 minute latency for real-time decision making. Risk of missing time-sensitive opportunities.</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Probability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Medium (3/5)</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Impact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High (4/5)</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Risk Score</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12</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Mitigation Strategy</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 Implement streaming analytics layer (Apache Flink or Kafka Streams)&lt;br&gt;- Evaluate managed solutions (AWS MSK + Kinesis Analytics)&lt;br&gt;- Partition Kafka topics by business entity for parallel processing&lt;br&gt;- Deploy incremental micro-batching vs. full batch processing&lt;br&gt;- Implement priority queue for high-value events&lt;br&gt;- Create tiered architecture: hot (real-time) and cold (batch) paths&lt;br&gt;- Conduct end-to-end latency profiling and optimization</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Owner</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Data Engineering Lead</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Status</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Design Phase</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Target Resolution</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Q3 2026</w:t>
            </w:r>
          </w:p>
        </w:tc>
      </w:tr>
    </w:tbl>
    <w:p>
      <w:pPr>
        <w:spacing w:after="160"/>
      </w:pPr>
    </w:p>
    <w:p>
      <w:pPr>
        <w:pStyle w:val="Heading3"/>
        <w:spacing w:before="280" w:after="160"/>
      </w:pPr>
      <w:r>
        <w:rPr>
          <w:rFonts w:ascii="Arial" w:cs="Arial" w:eastAsia="Arial" w:hAnsi="Arial"/>
          <w:b/>
          <w:bCs/>
          <w:color w:val="1E293B"/>
          <w:sz w:val="22"/>
          <w:szCs w:val="22"/>
        </w:rPr>
        <w:t xml:space="preserve">RISK-I04: Third-party Service Dependency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Project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Intelligent Alerting &amp; Insights</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Category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Integration</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Description</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Critical dependency on OpenAI API (GPT-4) for insights generation. Risk of service unavailability, rate limiting, or pricing changes. No fallback mechanism to alternative LLMs or graceful degradation.</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Probability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Medium (3/5)</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Impact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Medium (3/5)</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Risk Score</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9</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Mitigation Strategy</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 Implement multi-LLM strategy: OpenAI + Azure OpenAI + fallback (Anthropic Claude)&lt;br&gt;- Deploy circuit breaker pattern with automatic fallback logic&lt;br&gt;- Implement request batching and caching to minimize API calls&lt;br&gt;- Establish comprehensive monitoring of API quota/rate limits&lt;br&gt;- Create incident playbook for OpenAI service degradation&lt;br&gt;- Evaluate on-premise LLM alternatives (Llama, Mistral) for non-critical paths&lt;br&gt;- Negotiate SLA with pricing guarantees from OpenAI Enterprise&lt;br&gt;- Implement API cost optimization (request sampling, output caching)</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Owner</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Cloud Services Lead</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Status</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Planning</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Target Resolution</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Q2 2026</w:t>
            </w:r>
          </w:p>
        </w:tc>
      </w:tr>
    </w:tbl>
    <w:p>
      <w:pPr>
        <w:spacing w:after="160"/>
      </w:pPr>
    </w:p>
    <w:p>
      <w:pPr>
        <w:spacing w:after="120" w:line="276"/>
      </w:pPr>
      <w:r>
        <w:rPr>
          <w:rFonts w:ascii="Arial" w:cs="Arial" w:eastAsia="Arial" w:hAnsi="Arial"/>
          <w:color w:val="1E293B"/>
          <w:sz w:val="22"/>
          <w:szCs w:val="22"/>
        </w:rPr>
        <w:t xml:space="preserve">---</w:t>
      </w:r>
    </w:p>
    <w:p>
      <w:pPr>
        <w:pStyle w:val="Heading3"/>
        <w:spacing w:before="280" w:after="160"/>
      </w:pPr>
      <w:r>
        <w:rPr>
          <w:rFonts w:ascii="Arial" w:cs="Arial" w:eastAsia="Arial" w:hAnsi="Arial"/>
          <w:b/>
          <w:bCs/>
          <w:color w:val="1E293B"/>
          <w:sz w:val="22"/>
          <w:szCs w:val="22"/>
        </w:rPr>
        <w:t xml:space="preserve">SECURITY RISKS</w:t>
      </w:r>
    </w:p>
    <w:p>
      <w:pPr>
        <w:pStyle w:val="Heading3"/>
        <w:spacing w:before="280" w:after="160"/>
      </w:pPr>
      <w:r>
        <w:rPr>
          <w:rFonts w:ascii="Arial" w:cs="Arial" w:eastAsia="Arial" w:hAnsi="Arial"/>
          <w:b/>
          <w:bCs/>
          <w:color w:val="1E293B"/>
          <w:sz w:val="22"/>
          <w:szCs w:val="22"/>
        </w:rPr>
        <w:t xml:space="preserve">RISK-S01: LLM Data Privacy and PII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Project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Intelligent Alerting &amp; Insights</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Category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Security</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Description</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LLM models (OpenAI) receive network data containing potential PII (user identifiers, IP addresses, system names). Risk of data exposure through model training or vendor access. GDPR/APPs compliance concern. No data sanitization currently in place.</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Probability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Medium (3/5)</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Impact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High (4/5)</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Risk Score</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12</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Mitigation Strategy</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 Implement data masking and tokenization for sensitive fields before LLM processing&lt;br&gt;- Utilize OpenAI API with data privacy commitments (DPA signed)&lt;br&gt;- Deploy Azure OpenAI Private Link for air-gapped environments&lt;br&gt;- Conduct PII detection and redaction in data pipeline&lt;br&gt;- Establish data classification and handling procedures&lt;br&gt;- Implement audit logging for all LLM API calls&lt;br&gt;- Review and document compliance with GDPR, APPs, and Telstra security policies&lt;br&gt;- Conduct security assessment by Telstra InfoSec team</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Owner</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Chief Security Officer</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Status</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In Progress</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Target Resolution</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Q1 2026</w:t>
            </w:r>
          </w:p>
        </w:tc>
      </w:tr>
    </w:tbl>
    <w:p>
      <w:pPr>
        <w:spacing w:after="160"/>
      </w:pPr>
    </w:p>
    <w:p>
      <w:pPr>
        <w:pStyle w:val="Heading3"/>
        <w:spacing w:before="280" w:after="160"/>
      </w:pPr>
      <w:r>
        <w:rPr>
          <w:rFonts w:ascii="Arial" w:cs="Arial" w:eastAsia="Arial" w:hAnsi="Arial"/>
          <w:b/>
          <w:bCs/>
          <w:color w:val="1E293B"/>
          <w:sz w:val="22"/>
          <w:szCs w:val="22"/>
        </w:rPr>
        <w:t xml:space="preserve">RISK-S02: Kafka Message Encryption and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Project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Real-time Event Streaming</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Category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Security</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Description</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Kafka cluster currently lacks TLS encryption for inter-broker communication and client connections. Event messages may be interceptable in transit. SASL authentication incomplete for all topics.</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Probability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Medium (3/5)</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Impact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High (4/5)</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Risk Score</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12</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Mitigation Strategy</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 Enable TLS 1.3 encryption for all Kafka broker-to-broker and client-to-broker communication&lt;br&gt;- Implement SASL/SCRAM authentication for all producers and consumers&lt;br&gt;- Deploy Kafka ACLs with least-privilege access model&lt;br&gt;- Implement message-level encryption for sensitive topics (at-rest)&lt;br&gt;- Establish secret rotation policy for SASL credentials (quarterly)&lt;br&gt;- Audit all topic access logs monthly&lt;br&gt;- Implement network segmentation: Kafka cluster in private VPC&lt;br&gt;- Conduct security assessment by Telstra CISO office</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Owner</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Security Architecture Lead</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Status</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Design Phase</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Target Resolution</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Q2 2026</w:t>
            </w:r>
          </w:p>
        </w:tc>
      </w:tr>
    </w:tbl>
    <w:p>
      <w:pPr>
        <w:spacing w:after="160"/>
      </w:pPr>
    </w:p>
    <w:p>
      <w:pPr>
        <w:pStyle w:val="Heading3"/>
        <w:spacing w:before="280" w:after="160"/>
      </w:pPr>
      <w:r>
        <w:rPr>
          <w:rFonts w:ascii="Arial" w:cs="Arial" w:eastAsia="Arial" w:hAnsi="Arial"/>
          <w:b/>
          <w:bCs/>
          <w:color w:val="1E293B"/>
          <w:sz w:val="22"/>
          <w:szCs w:val="22"/>
        </w:rPr>
        <w:t xml:space="preserve">RISK-S03: Closed-Loop Automation Safety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Project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Autonomous Remediation Engine</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Category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Security</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Description</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Autonomous remediation system automatically executes configuration changes and service resets based on ML predictions. Risk of cascading failures, unintended impact, and lack of human oversight on automated actions. Insufficient rollback capabilities.</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Probability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Medium (3/5)</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Impact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High (4/5)</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Risk Score</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12</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Mitigation Strategy</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 Implement multi-stage approval workflow: ML prediction → human review → execution&lt;br&gt;- Deploy blast radius limiting (limit concurrent changes to &lt;5% of infrastructure)&lt;br&gt;- Establish automatic rollback if confidence score &lt; 90% or prediction &lt; 85% accuracy&lt;br&gt;- Implement change impact simulation before execution&lt;br&gt;- Require human approval for infrastructure/service-critical changes&lt;br&gt;- Establish audit trail for all autonomous actions with detailed logging&lt;br&gt;- Create emergency brake system (instant disable of autonomous actions)&lt;br&gt;- Conduct war game testing to validate rollback procedures&lt;br&gt;- Establish clear escalation procedures for detected anomalies</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Owner</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Autonomous Systems Safety Officer</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Status</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Design Phase</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Target Resolution</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Q2 2026</w:t>
            </w:r>
          </w:p>
        </w:tc>
      </w:tr>
    </w:tbl>
    <w:p>
      <w:pPr>
        <w:spacing w:after="160"/>
      </w:pPr>
    </w:p>
    <w:p>
      <w:pPr>
        <w:spacing w:after="120" w:line="276"/>
      </w:pPr>
      <w:r>
        <w:rPr>
          <w:rFonts w:ascii="Arial" w:cs="Arial" w:eastAsia="Arial" w:hAnsi="Arial"/>
          <w:color w:val="1E293B"/>
          <w:sz w:val="22"/>
          <w:szCs w:val="22"/>
        </w:rPr>
        <w:t xml:space="preserve">---</w:t>
      </w:r>
    </w:p>
    <w:p>
      <w:pPr>
        <w:pStyle w:val="Heading3"/>
        <w:spacing w:before="280" w:after="160"/>
      </w:pPr>
      <w:r>
        <w:rPr>
          <w:rFonts w:ascii="Arial" w:cs="Arial" w:eastAsia="Arial" w:hAnsi="Arial"/>
          <w:b/>
          <w:bCs/>
          <w:color w:val="1E293B"/>
          <w:sz w:val="22"/>
          <w:szCs w:val="22"/>
        </w:rPr>
        <w:t xml:space="preserve">DATA RISKS</w:t>
      </w:r>
    </w:p>
    <w:p>
      <w:pPr>
        <w:pStyle w:val="Heading3"/>
        <w:spacing w:before="280" w:after="160"/>
      </w:pPr>
      <w:r>
        <w:rPr>
          <w:rFonts w:ascii="Arial" w:cs="Arial" w:eastAsia="Arial" w:hAnsi="Arial"/>
          <w:b/>
          <w:bCs/>
          <w:color w:val="1E293B"/>
          <w:sz w:val="22"/>
          <w:szCs w:val="22"/>
        </w:rPr>
        <w:t xml:space="preserve">RISK-D01: Data Quality and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Project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Data Lake &amp; Analytics Hub</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Category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Data</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Description</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Source network data exhibits inconsistent quality: 15-20% missing values, duplicate records, and inconsistent naming conventions. Data quality metrics not tracked. Analytics models trained on imperfect data reduce accuracy and reliability.</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Probability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High (4/5)</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Impact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Medium (3/5)</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Risk Score</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12</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Mitigation Strategy</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 Implement data quality framework (Great Expectations or Soda)&lt;br&gt;- Establish data quality SLAs: completeness &gt;95%, uniqueness verification&lt;br&gt;- Deploy automated data profiling and anomaly detection&lt;br&gt;- Create master data management (MDM) layer for reference data&lt;br&gt;- Implement data cleansing pipeline with validation rules&lt;br&gt;- Establish feedback loop: analytics → data quality team&lt;br&gt;- Create data quality dashboard with KPIs and alerts&lt;br&gt;- Conduct quarterly data quality audits</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Owner</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Data Quality Manager</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Status</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Planning</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Target Resolution</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Q2 2026</w:t>
            </w:r>
          </w:p>
        </w:tc>
      </w:tr>
    </w:tbl>
    <w:p>
      <w:pPr>
        <w:spacing w:after="160"/>
      </w:pPr>
    </w:p>
    <w:p>
      <w:pPr>
        <w:pStyle w:val="Heading3"/>
        <w:spacing w:before="280" w:after="160"/>
      </w:pPr>
      <w:r>
        <w:rPr>
          <w:rFonts w:ascii="Arial" w:cs="Arial" w:eastAsia="Arial" w:hAnsi="Arial"/>
          <w:b/>
          <w:bCs/>
          <w:color w:val="1E293B"/>
          <w:sz w:val="22"/>
          <w:szCs w:val="22"/>
        </w:rPr>
        <w:t xml:space="preserve">RISK-D02: Data Lake Storage and Cost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Project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Data Lake &amp; Analytics Hub</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Category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Data</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Description</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Data Lake currently storing 200TB with projected growth to 1PB by end of Year 1. Storage costs escalating (AWS S3: ~$4.6K/TB/year for warm storage). No tiered retention or archival strategy.</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Probability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High (4/5)</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Impact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Medium (3/5)</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Risk Score</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12</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Mitigation Strategy</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 Implement tiered storage architecture: hot (SSD, 30 days) → warm (HDD, 1 year) → cold (Glacier, 7 years)&lt;br&gt;- Establish data retention policies by data type and business value&lt;br&gt;- Deploy compression and deduplication (40-50% reduction expected)&lt;br&gt;- Implement cost monitoring and budget alerts (monthly reviews)&lt;br&gt;- Evaluate cloud-native compression (Parquet, ORC formats)&lt;br&gt;- Conduct quarterly data lifecycle reviews&lt;br&gt;- Implement automated data archival based on access patterns&lt;br&gt;- Negotiate enterprise storage pricing with AWS (3-year commitment for 20-30% discount)</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Owner</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Data Infrastructure Manager</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Status</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Design Phase</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Target Resolution</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Q2 2026</w:t>
            </w:r>
          </w:p>
        </w:tc>
      </w:tr>
    </w:tbl>
    <w:p>
      <w:pPr>
        <w:spacing w:after="160"/>
      </w:pPr>
    </w:p>
    <w:p>
      <w:pPr>
        <w:pStyle w:val="Heading3"/>
        <w:spacing w:before="280" w:after="160"/>
      </w:pPr>
      <w:r>
        <w:rPr>
          <w:rFonts w:ascii="Arial" w:cs="Arial" w:eastAsia="Arial" w:hAnsi="Arial"/>
          <w:b/>
          <w:bCs/>
          <w:color w:val="1E293B"/>
          <w:sz w:val="22"/>
          <w:szCs w:val="22"/>
        </w:rPr>
        <w:t xml:space="preserve">RISK-D03: Historical Data Backfill and Retroactive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Project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Predictive Analytics Engine</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Category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Data</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Description</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Analytics models require 24 months of historical network data. Current systems have only 6 months available. Backfill from legacy systems incomplete and low quality. Models trained on limited historical context reduce prediction accuracy.</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Probability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Medium (3/5)</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Impact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Medium (3/5)</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Risk Score</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9</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Mitigation Strategy</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 Initiate data recovery project from legacy network monitoring systems&lt;br&gt;- Establish data quality cleansing pipeline for recovered data&lt;br&gt;- Partner with network operations to validate historical data completeness&lt;br&gt;- Implement time-series validation to detect anomalies in historical data&lt;br&gt;- Create data reconciliation process between systems&lt;br&gt;- Document data lineage for all backfilled data&lt;br&gt;- Establish interim model accuracy targets with 6-month data&lt;br&gt;- Plan for model retraining as additional history becomes available</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Owner</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Analytics Lead</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Status</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In Progress</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Target Resolution</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Q3 2026</w:t>
            </w:r>
          </w:p>
        </w:tc>
      </w:tr>
    </w:tbl>
    <w:p>
      <w:pPr>
        <w:spacing w:after="160"/>
      </w:pPr>
    </w:p>
    <w:p>
      <w:pPr>
        <w:spacing w:after="120" w:line="276"/>
      </w:pPr>
      <w:r>
        <w:rPr>
          <w:rFonts w:ascii="Arial" w:cs="Arial" w:eastAsia="Arial" w:hAnsi="Arial"/>
          <w:color w:val="1E293B"/>
          <w:sz w:val="22"/>
          <w:szCs w:val="22"/>
        </w:rPr>
        <w:t xml:space="preserve">---</w:t>
      </w:r>
    </w:p>
    <w:p>
      <w:pPr>
        <w:pStyle w:val="Heading3"/>
        <w:spacing w:before="280" w:after="160"/>
      </w:pPr>
      <w:r>
        <w:rPr>
          <w:rFonts w:ascii="Arial" w:cs="Arial" w:eastAsia="Arial" w:hAnsi="Arial"/>
          <w:b/>
          <w:bCs/>
          <w:color w:val="1E293B"/>
          <w:sz w:val="22"/>
          <w:szCs w:val="22"/>
        </w:rPr>
        <w:t xml:space="preserve">RESOURCE RISKS</w:t>
      </w:r>
    </w:p>
    <w:p>
      <w:pPr>
        <w:pStyle w:val="Heading3"/>
        <w:spacing w:before="280" w:after="160"/>
      </w:pPr>
      <w:r>
        <w:rPr>
          <w:rFonts w:ascii="Arial" w:cs="Arial" w:eastAsia="Arial" w:hAnsi="Arial"/>
          <w:b/>
          <w:bCs/>
          <w:color w:val="1E293B"/>
          <w:sz w:val="22"/>
          <w:szCs w:val="22"/>
        </w:rPr>
        <w:t xml:space="preserve">RISK-R01: Team Skills Gaps and Knowledge Silos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Project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Cross-Portfolio</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Category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Resource</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Description</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Portfolio requires specialized skills: Neo4j expertise (limited availability), Kafka architecture (1 senior engineer), ML/MLOps (2 FTE). Knowledge concentrated in few team members. Risk of project delays, poor architectural decisions, and key person dependencies.</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Probability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High (4/5)</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Impact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Medium (3/5)</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Risk Score</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12</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Mitigation Strategy</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 Implement knowledge transfer program: pair programming, documentation, lunch-and-learns&lt;br&gt;- Hire external contractors: Neo4j architect (Q2), Kafka expert (Q1)&lt;br&gt;- Establish mentoring program pairing senior and junior engineers&lt;br&gt;- Create comprehensive technical documentation and runbooks&lt;br&gt;- Implement cross-functional team rotations (quarterly)&lt;br&gt;- Conduct skills gap analysis and training plan (Q1 2026)&lt;br&gt;- Establish certification pathways: Neo4j, Kafka, Kubernetes&lt;br&gt;- Allocate 10% time for professional development and training</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Owner</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HR / Talent Acquisition Lead</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Status</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In Progress</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Target Resolution</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Q3 2026</w:t>
            </w:r>
          </w:p>
        </w:tc>
      </w:tr>
    </w:tbl>
    <w:p>
      <w:pPr>
        <w:spacing w:after="160"/>
      </w:pPr>
    </w:p>
    <w:p>
      <w:pPr>
        <w:pStyle w:val="Heading3"/>
        <w:spacing w:before="280" w:after="160"/>
      </w:pPr>
      <w:r>
        <w:rPr>
          <w:rFonts w:ascii="Arial" w:cs="Arial" w:eastAsia="Arial" w:hAnsi="Arial"/>
          <w:b/>
          <w:bCs/>
          <w:color w:val="1E293B"/>
          <w:sz w:val="22"/>
          <w:szCs w:val="22"/>
        </w:rPr>
        <w:t xml:space="preserve">RISK-R02: Project Schedule Slippage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Project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Cross-Portfolio</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Category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Resource</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Description</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Portfolio timeline compressed: 6 projects to launch in 6 months. Current velocity estimates suggest 20-30% schedule risk. Integration testing and UAT phases underestimated. Production cutover complexity high.</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Probability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High (4/5)</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Impact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Medium (3/5)</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Risk Score</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12</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Mitigation Strategy</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 Conduct realistic capacity planning and velocity trending&lt;br&gt;- Implement agile metrics tracking: burn-down, cycle time, team velocity&lt;br&gt;- Establish critical path analysis and monthly schedule reviews&lt;br&gt;- Deploy parallel testing and compressed test cycles (shift-left testing)&lt;br&gt;- Establish integration testing cadence (weekly instead of monthly)&lt;br&gt;- Create risk-based prioritization for descoping decisions&lt;br&gt;- Implement automated testing to reduce manual test cycles&lt;br&gt;- Establish executive steering with bi-weekly status (Red/Amber/Green)&lt;br&gt;- Plan contingency schedule buffers (20% buffer per phase)</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Owner</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Portfolio PMO Lead</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Status</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In Progress</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Target Resolution</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Ongoing</w:t>
            </w:r>
          </w:p>
        </w:tc>
      </w:tr>
    </w:tbl>
    <w:p>
      <w:pPr>
        <w:spacing w:after="160"/>
      </w:pPr>
    </w:p>
    <w:p>
      <w:pPr>
        <w:spacing w:after="120" w:line="276"/>
      </w:pPr>
      <w:r>
        <w:rPr>
          <w:rFonts w:ascii="Arial" w:cs="Arial" w:eastAsia="Arial" w:hAnsi="Arial"/>
          <w:color w:val="1E293B"/>
          <w:sz w:val="22"/>
          <w:szCs w:val="22"/>
        </w:rPr>
        <w:t xml:space="preserve">---</w:t>
      </w:r>
    </w:p>
    <w:p>
      <w:pPr>
        <w:pStyle w:val="Heading3"/>
        <w:spacing w:before="280" w:after="160"/>
      </w:pPr>
      <w:r>
        <w:rPr>
          <w:rFonts w:ascii="Arial" w:cs="Arial" w:eastAsia="Arial" w:hAnsi="Arial"/>
          <w:b/>
          <w:bCs/>
          <w:color w:val="1E293B"/>
          <w:sz w:val="22"/>
          <w:szCs w:val="22"/>
        </w:rPr>
        <w:t xml:space="preserve">OPERATIONAL RISKS</w:t>
      </w:r>
    </w:p>
    <w:p>
      <w:pPr>
        <w:pStyle w:val="Heading3"/>
        <w:spacing w:before="280" w:after="160"/>
      </w:pPr>
      <w:r>
        <w:rPr>
          <w:rFonts w:ascii="Arial" w:cs="Arial" w:eastAsia="Arial" w:hAnsi="Arial"/>
          <w:b/>
          <w:bCs/>
          <w:color w:val="1E293B"/>
          <w:sz w:val="22"/>
          <w:szCs w:val="22"/>
        </w:rPr>
        <w:t xml:space="preserve">RISK-O01: Production Support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468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Project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Cross-Portfolio</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Category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Operational</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Description</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Production support model not defined. No Service Level Agreements (SLAs), runbooks, or 24/7 support coverage planned. Operations team (DevOps, Network Ops) not trained on new systems. Risk of extended outages and poor incident response.</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Probability</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Medium (3/5)</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Impact</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Medium (3/5)</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Risk Score</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9</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Mitigation Strategy</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 Define Service Level Objectives (SLOs) and SLAs for each project&lt;br&gt;- Create comprehensive runbooks and operational playbooks&lt;br&gt;- Establish 24/7 on-call rotation with escalation procedures&lt;br&gt;- Implement incident management process (ICP) aligned to ITIL&lt;br&gt;- Conduct operations team training 3 months before production launch&lt;br&gt;- Establish war game exercises and incident simulations (quarterly)&lt;br&gt;- Deploy centralized monitoring (Prometheus/ELK stack) with alerting&lt;br&gt;- Create post-incident review (PIR) process for continuous improvement&lt;br&gt;- Establish cost center budgets for ops team (people + tools)</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Owner</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Operations Director</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2"/>
                <w:szCs w:val="22"/>
              </w:rPr>
              <w:t xml:space="preserve">Status</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2"/>
                <w:szCs w:val="22"/>
              </w:rPr>
              <w:t xml:space="preserve">Planning</w:t>
            </w:r>
          </w:p>
        </w:tc>
      </w:tr>
      <w:tr>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E293B"/>
                <w:sz w:val="22"/>
                <w:szCs w:val="22"/>
              </w:rPr>
              <w:t xml:space="preserve">Target Resolution</w:t>
            </w:r>
          </w:p>
        </w:tc>
        <w:tc>
          <w:tcPr>
            <w:tcW w:type="dxa" w:w="46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2"/>
                <w:szCs w:val="22"/>
              </w:rPr>
              <w:t xml:space="preserve">Q2 2026</w:t>
            </w:r>
          </w:p>
        </w:tc>
      </w:tr>
    </w:tbl>
    <w:p>
      <w:pPr>
        <w:spacing w:after="160"/>
      </w:pPr>
    </w:p>
    <w:p>
      <w:pPr>
        <w:spacing w:after="120" w:line="276"/>
      </w:pPr>
      <w:r>
        <w:rPr>
          <w:rFonts w:ascii="Arial" w:cs="Arial" w:eastAsia="Arial" w:hAnsi="Arial"/>
          <w:color w:val="1E293B"/>
          <w:sz w:val="22"/>
          <w:szCs w:val="22"/>
        </w:rPr>
        <w:t xml:space="preserve">---</w:t>
      </w:r>
    </w:p>
    <w:p>
      <w:pPr>
        <w:pStyle w:val="Heading2"/>
        <w:spacing w:before="280" w:after="160"/>
      </w:pPr>
      <w:r>
        <w:rPr>
          <w:rFonts w:ascii="Arial" w:cs="Arial" w:eastAsia="Arial" w:hAnsi="Arial"/>
          <w:b/>
          <w:bCs/>
          <w:color w:val="2E75B6"/>
          <w:sz w:val="26"/>
          <w:szCs w:val="26"/>
        </w:rPr>
        <w:t xml:space="preserve">Risk Heat Map Summary</w:t>
      </w:r>
    </w:p>
    <w:p>
      <w:pPr>
        <w:pBdr>
          <w:top w:val="single" w:color="CBD5E1" w:sz="1" w:space="4"/>
          <w:bottom w:val="single" w:color="CBD5E1" w:sz="1" w:space="4"/>
          <w:left w:val="single" w:color="CBD5E1" w:sz="1" w:space="4"/>
          <w:right w:val="single" w:color="CBD5E1" w:sz="1" w:space="4"/>
        </w:pBdr>
        <w:shd w:fill="F8FAFC" w:val="clear"/>
        <w:spacing w:before="80" w:after="80"/>
      </w:pPr>
      <w:r>
        <w:rPr>
          <w:rFonts w:ascii="Consolas" w:cs="Consolas" w:eastAsia="Consolas" w:hAnsi="Consolas"/>
          <w:color w:val="1E293B"/>
          <w:sz w:val="18"/>
          <w:szCs w:val="18"/>
        </w:rPr>
        <w:t xml:space="preserve">RISK SCORE DISTRIBUTION</w:t>
      </w:r>
      <w:r>
        <w:br/>
      </w:r>
      <w:r>
        <w:rPr>
          <w:rFonts w:ascii="Consolas" w:cs="Consolas" w:eastAsia="Consolas" w:hAnsi="Consolas"/>
          <w:color w:val="1E293B"/>
          <w:sz w:val="18"/>
          <w:szCs w:val="18"/>
        </w:rPr>
        <w:t xml:space="preserve"> </w:t>
      </w:r>
      <w:r>
        <w:br/>
      </w:r>
      <w:r>
        <w:rPr>
          <w:rFonts w:ascii="Consolas" w:cs="Consolas" w:eastAsia="Consolas" w:hAnsi="Consolas"/>
          <w:color w:val="1E293B"/>
          <w:sz w:val="18"/>
          <w:szCs w:val="18"/>
        </w:rPr>
        <w:t xml:space="preserve">HIGH RISK (15+):        ▓▓▓▓▓▓▓▓▓ 8 risks</w:t>
      </w:r>
      <w:r>
        <w:br/>
      </w:r>
      <w:r>
        <w:rPr>
          <w:rFonts w:ascii="Consolas" w:cs="Consolas" w:eastAsia="Consolas" w:hAnsi="Consolas"/>
          <w:color w:val="1E293B"/>
          <w:sz w:val="18"/>
          <w:szCs w:val="18"/>
        </w:rPr>
        <w:t xml:space="preserve">                        - RISK-T01: Neo4j Scaling (16)</w:t>
      </w:r>
      <w:r>
        <w:br/>
      </w:r>
      <w:r>
        <w:rPr>
          <w:rFonts w:ascii="Consolas" w:cs="Consolas" w:eastAsia="Consolas" w:hAnsi="Consolas"/>
          <w:color w:val="1E293B"/>
          <w:sz w:val="18"/>
          <w:szCs w:val="18"/>
        </w:rPr>
        <w:t xml:space="preserve">                        - RISK-T02: ML Model Accuracy (16)</w:t>
      </w:r>
      <w:r>
        <w:br/>
      </w:r>
      <w:r>
        <w:rPr>
          <w:rFonts w:ascii="Consolas" w:cs="Consolas" w:eastAsia="Consolas" w:hAnsi="Consolas"/>
          <w:color w:val="1E293B"/>
          <w:sz w:val="18"/>
          <w:szCs w:val="18"/>
        </w:rPr>
        <w:t xml:space="preserve">                        - RISK-I01: Data Consistency (16)</w:t>
      </w:r>
      <w:r>
        <w:br/>
      </w:r>
      <w:r>
        <w:rPr>
          <w:rFonts w:ascii="Consolas" w:cs="Consolas" w:eastAsia="Consolas" w:hAnsi="Consolas"/>
          <w:color w:val="1E293B"/>
          <w:sz w:val="18"/>
          <w:szCs w:val="18"/>
        </w:rPr>
        <w:t xml:space="preserve">                        - RISK-T03: Kafka Reliability (12)</w:t>
      </w:r>
      <w:r>
        <w:br/>
      </w:r>
      <w:r>
        <w:rPr>
          <w:rFonts w:ascii="Consolas" w:cs="Consolas" w:eastAsia="Consolas" w:hAnsi="Consolas"/>
          <w:color w:val="1E293B"/>
          <w:sz w:val="18"/>
          <w:szCs w:val="18"/>
        </w:rPr>
        <w:t xml:space="preserve">                        - RISK-T05: LLM Hallucination (12)</w:t>
      </w:r>
      <w:r>
        <w:br/>
      </w:r>
      <w:r>
        <w:rPr>
          <w:rFonts w:ascii="Consolas" w:cs="Consolas" w:eastAsia="Consolas" w:hAnsi="Consolas"/>
          <w:color w:val="1E293B"/>
          <w:sz w:val="18"/>
          <w:szCs w:val="18"/>
        </w:rPr>
        <w:t xml:space="preserve">                        - RISK-I03: Kafka-DW Latency (12)</w:t>
      </w:r>
      <w:r>
        <w:br/>
      </w:r>
      <w:r>
        <w:rPr>
          <w:rFonts w:ascii="Consolas" w:cs="Consolas" w:eastAsia="Consolas" w:hAnsi="Consolas"/>
          <w:color w:val="1E293B"/>
          <w:sz w:val="18"/>
          <w:szCs w:val="18"/>
        </w:rPr>
        <w:t xml:space="preserve">                        - RISK-S01: LLM PII Exposure (12)</w:t>
      </w:r>
      <w:r>
        <w:br/>
      </w:r>
      <w:r>
        <w:rPr>
          <w:rFonts w:ascii="Consolas" w:cs="Consolas" w:eastAsia="Consolas" w:hAnsi="Consolas"/>
          <w:color w:val="1E293B"/>
          <w:sz w:val="18"/>
          <w:szCs w:val="18"/>
        </w:rPr>
        <w:t xml:space="preserve">                        - RISK-S02: Kafka Encryption (12)</w:t>
      </w:r>
      <w:r>
        <w:br/>
      </w:r>
      <w:r>
        <w:rPr>
          <w:rFonts w:ascii="Consolas" w:cs="Consolas" w:eastAsia="Consolas" w:hAnsi="Consolas"/>
          <w:color w:val="1E293B"/>
          <w:sz w:val="18"/>
          <w:szCs w:val="18"/>
        </w:rPr>
        <w:t xml:space="preserve">                        - RISK-S03: Automation Safety (12)</w:t>
      </w:r>
      <w:r>
        <w:br/>
      </w:r>
      <w:r>
        <w:rPr>
          <w:rFonts w:ascii="Consolas" w:cs="Consolas" w:eastAsia="Consolas" w:hAnsi="Consolas"/>
          <w:color w:val="1E293B"/>
          <w:sz w:val="18"/>
          <w:szCs w:val="18"/>
        </w:rPr>
        <w:t xml:space="preserve"> </w:t>
      </w:r>
      <w:r>
        <w:br/>
      </w:r>
      <w:r>
        <w:rPr>
          <w:rFonts w:ascii="Consolas" w:cs="Consolas" w:eastAsia="Consolas" w:hAnsi="Consolas"/>
          <w:color w:val="1E293B"/>
          <w:sz w:val="18"/>
          <w:szCs w:val="18"/>
        </w:rPr>
        <w:t xml:space="preserve">MEDIUM RISK (9-14):     ▓▓▓▓▓ 7 risks</w:t>
      </w:r>
      <w:r>
        <w:br/>
      </w:r>
      <w:r>
        <w:rPr>
          <w:rFonts w:ascii="Consolas" w:cs="Consolas" w:eastAsia="Consolas" w:hAnsi="Consolas"/>
          <w:color w:val="1E293B"/>
          <w:sz w:val="18"/>
          <w:szCs w:val="18"/>
        </w:rPr>
        <w:t xml:space="preserve">                        - RISK-T04: Ansible Safety (9)</w:t>
      </w:r>
      <w:r>
        <w:br/>
      </w:r>
      <w:r>
        <w:rPr>
          <w:rFonts w:ascii="Consolas" w:cs="Consolas" w:eastAsia="Consolas" w:hAnsi="Consolas"/>
          <w:color w:val="1E293B"/>
          <w:sz w:val="18"/>
          <w:szCs w:val="18"/>
        </w:rPr>
        <w:t xml:space="preserve">                        - RISK-I02: API Contracts (9)</w:t>
      </w:r>
      <w:r>
        <w:br/>
      </w:r>
      <w:r>
        <w:rPr>
          <w:rFonts w:ascii="Consolas" w:cs="Consolas" w:eastAsia="Consolas" w:hAnsi="Consolas"/>
          <w:color w:val="1E293B"/>
          <w:sz w:val="18"/>
          <w:szCs w:val="18"/>
        </w:rPr>
        <w:t xml:space="preserve">                        - RISK-I04: Service Dependency (9)</w:t>
      </w:r>
      <w:r>
        <w:br/>
      </w:r>
      <w:r>
        <w:rPr>
          <w:rFonts w:ascii="Consolas" w:cs="Consolas" w:eastAsia="Consolas" w:hAnsi="Consolas"/>
          <w:color w:val="1E293B"/>
          <w:sz w:val="18"/>
          <w:szCs w:val="18"/>
        </w:rPr>
        <w:t xml:space="preserve">                        - RISK-D01: Data Quality (12)</w:t>
      </w:r>
      <w:r>
        <w:br/>
      </w:r>
      <w:r>
        <w:rPr>
          <w:rFonts w:ascii="Consolas" w:cs="Consolas" w:eastAsia="Consolas" w:hAnsi="Consolas"/>
          <w:color w:val="1E293B"/>
          <w:sz w:val="18"/>
          <w:szCs w:val="18"/>
        </w:rPr>
        <w:t xml:space="preserve">                        - RISK-D02: Storage Costs (12)</w:t>
      </w:r>
      <w:r>
        <w:br/>
      </w:r>
      <w:r>
        <w:rPr>
          <w:rFonts w:ascii="Consolas" w:cs="Consolas" w:eastAsia="Consolas" w:hAnsi="Consolas"/>
          <w:color w:val="1E293B"/>
          <w:sz w:val="18"/>
          <w:szCs w:val="18"/>
        </w:rPr>
        <w:t xml:space="preserve">                        - RISK-D03: Backfill (9)</w:t>
      </w:r>
      <w:r>
        <w:br/>
      </w:r>
      <w:r>
        <w:rPr>
          <w:rFonts w:ascii="Consolas" w:cs="Consolas" w:eastAsia="Consolas" w:hAnsi="Consolas"/>
          <w:color w:val="1E293B"/>
          <w:sz w:val="18"/>
          <w:szCs w:val="18"/>
        </w:rPr>
        <w:t xml:space="preserve">                        - RISK-R01: Skills Gaps (12)</w:t>
      </w:r>
      <w:r>
        <w:br/>
      </w:r>
      <w:r>
        <w:rPr>
          <w:rFonts w:ascii="Consolas" w:cs="Consolas" w:eastAsia="Consolas" w:hAnsi="Consolas"/>
          <w:color w:val="1E293B"/>
          <w:sz w:val="18"/>
          <w:szCs w:val="18"/>
        </w:rPr>
        <w:t xml:space="preserve">                        - RISK-R02: Schedule Slippage (12)</w:t>
      </w:r>
      <w:r>
        <w:br/>
      </w:r>
      <w:r>
        <w:rPr>
          <w:rFonts w:ascii="Consolas" w:cs="Consolas" w:eastAsia="Consolas" w:hAnsi="Consolas"/>
          <w:color w:val="1E293B"/>
          <w:sz w:val="18"/>
          <w:szCs w:val="18"/>
        </w:rPr>
        <w:t xml:space="preserve"> </w:t>
      </w:r>
      <w:r>
        <w:br/>
      </w:r>
      <w:r>
        <w:rPr>
          <w:rFonts w:ascii="Consolas" w:cs="Consolas" w:eastAsia="Consolas" w:hAnsi="Consolas"/>
          <w:color w:val="1E293B"/>
          <w:sz w:val="18"/>
          <w:szCs w:val="18"/>
        </w:rPr>
        <w:t xml:space="preserve">LOW RISK (&lt; 9):         ▓ 1 risk</w:t>
      </w:r>
      <w:r>
        <w:br/>
      </w:r>
      <w:r>
        <w:rPr>
          <w:rFonts w:ascii="Consolas" w:cs="Consolas" w:eastAsia="Consolas" w:hAnsi="Consolas"/>
          <w:color w:val="1E293B"/>
          <w:sz w:val="18"/>
          <w:szCs w:val="18"/>
        </w:rPr>
        <w:t xml:space="preserve">                        - RISK-O01: Support Readiness (9)</w:t>
      </w:r>
    </w:p>
    <w:p>
      <w:pPr>
        <w:spacing w:after="120" w:line="276"/>
      </w:pPr>
      <w:r>
        <w:rPr>
          <w:rFonts w:ascii="Arial" w:cs="Arial" w:eastAsia="Arial" w:hAnsi="Arial"/>
          <w:color w:val="1E293B"/>
          <w:sz w:val="22"/>
          <w:szCs w:val="22"/>
        </w:rPr>
        <w:t xml:space="preserve">---</w:t>
      </w:r>
    </w:p>
    <w:p>
      <w:pPr>
        <w:pStyle w:val="Heading2"/>
        <w:spacing w:before="280" w:after="160"/>
      </w:pPr>
      <w:r>
        <w:rPr>
          <w:rFonts w:ascii="Arial" w:cs="Arial" w:eastAsia="Arial" w:hAnsi="Arial"/>
          <w:b/>
          <w:bCs/>
          <w:color w:val="2E75B6"/>
          <w:sz w:val="26"/>
          <w:szCs w:val="26"/>
        </w:rPr>
        <w:t xml:space="preserve">Top 5 Critical Risks Requiring Immediate Action</w:t>
      </w:r>
    </w:p>
    <w:p>
      <w:pPr>
        <w:pStyle w:val="Heading3"/>
        <w:spacing w:before="280" w:after="160"/>
      </w:pPr>
      <w:r>
        <w:rPr>
          <w:rFonts w:ascii="Arial" w:cs="Arial" w:eastAsia="Arial" w:hAnsi="Arial"/>
          <w:b/>
          <w:bCs/>
          <w:color w:val="1E293B"/>
          <w:sz w:val="22"/>
          <w:szCs w:val="22"/>
        </w:rPr>
        <w:t xml:space="preserve">1. RISK-T01: Neo4j Graph Database Scaling</w:t>
      </w:r>
    </w:p>
    <w:p>
      <w:pPr>
        <w:spacing w:after="120" w:line="276"/>
      </w:pPr>
      <w:r>
        <w:rPr>
          <w:rFonts w:ascii="Arial" w:cs="Arial" w:eastAsia="Arial" w:hAnsi="Arial"/>
          <w:b/>
          <w:bCs/>
          <w:color w:val="1E293B"/>
          <w:sz w:val="22"/>
          <w:szCs w:val="22"/>
        </w:rPr>
        <w:t xml:space="preserve">Risk Score: 16</w:t>
      </w:r>
      <w:r>
        <w:rPr>
          <w:rFonts w:ascii="Arial" w:cs="Arial" w:eastAsia="Arial" w:hAnsi="Arial"/>
          <w:color w:val="1E293B"/>
          <w:sz w:val="22"/>
          <w:szCs w:val="22"/>
        </w:rPr>
        <w:t xml:space="preserve"> | </w:t>
      </w:r>
      <w:r>
        <w:rPr>
          <w:rFonts w:ascii="Arial" w:cs="Arial" w:eastAsia="Arial" w:hAnsi="Arial"/>
          <w:b/>
          <w:bCs/>
          <w:color w:val="1E293B"/>
          <w:sz w:val="22"/>
          <w:szCs w:val="22"/>
        </w:rPr>
        <w:t xml:space="preserve">Priority: CRITICAL</w:t>
      </w:r>
      <w:r>
        <w:rPr>
          <w:rFonts w:ascii="Arial" w:cs="Arial" w:eastAsia="Arial" w:hAnsi="Arial"/>
          <w:color w:val="1E293B"/>
          <w:sz w:val="22"/>
          <w:szCs w:val="22"/>
        </w:rPr>
        <w:t xml:space="preserve"> | </w:t>
      </w:r>
      <w:r>
        <w:rPr>
          <w:rFonts w:ascii="Arial" w:cs="Arial" w:eastAsia="Arial" w:hAnsi="Arial"/>
          <w:b/>
          <w:bCs/>
          <w:color w:val="1E293B"/>
          <w:sz w:val="22"/>
          <w:szCs w:val="22"/>
        </w:rPr>
        <w:t xml:space="preserve">Owner: Tech Lead - Graph DB</w:t>
      </w:r>
    </w:p>
    <w:p>
      <w:pPr>
        <w:pStyle w:val="ListParagraph"/>
        <w:numPr>
          <w:ilvl w:val="0"/>
          <w:numId w:val="2"/>
        </w:numPr>
        <w:spacing w:after="60" w:line="276"/>
      </w:pPr>
      <w:r>
        <w:rPr>
          <w:rFonts w:ascii="Arial" w:cs="Arial" w:eastAsia="Arial" w:hAnsi="Arial"/>
          <w:b/>
          <w:bCs/>
          <w:color w:val="1E293B"/>
          <w:sz w:val="22"/>
          <w:szCs w:val="22"/>
        </w:rPr>
        <w:t xml:space="preserve">Impact</w:t>
      </w:r>
      <w:r>
        <w:rPr>
          <w:rFonts w:ascii="Arial" w:cs="Arial" w:eastAsia="Arial" w:hAnsi="Arial"/>
          <w:color w:val="1E293B"/>
          <w:sz w:val="22"/>
          <w:szCs w:val="22"/>
        </w:rPr>
        <w:t xml:space="preserve">: Core analytics functionality relies on Neo4j performance</w:t>
      </w:r>
    </w:p>
    <w:p>
      <w:pPr>
        <w:pStyle w:val="ListParagraph"/>
        <w:numPr>
          <w:ilvl w:val="0"/>
          <w:numId w:val="2"/>
        </w:numPr>
        <w:spacing w:after="60" w:line="276"/>
      </w:pPr>
      <w:r>
        <w:rPr>
          <w:rFonts w:ascii="Arial" w:cs="Arial" w:eastAsia="Arial" w:hAnsi="Arial"/>
          <w:b/>
          <w:bCs/>
          <w:color w:val="1E293B"/>
          <w:sz w:val="22"/>
          <w:szCs w:val="22"/>
        </w:rPr>
        <w:t xml:space="preserve">Action Items</w:t>
      </w:r>
      <w:r>
        <w:rPr>
          <w:rFonts w:ascii="Arial" w:cs="Arial" w:eastAsia="Arial" w:hAnsi="Arial"/>
          <w:color w:val="1E293B"/>
          <w:sz w:val="22"/>
          <w:szCs w:val="22"/>
        </w:rPr>
        <w:t xml:space="preserve">:</w:t>
      </w:r>
    </w:p>
    <w:p>
      <w:pPr>
        <w:pStyle w:val="ListParagraph"/>
        <w:numPr>
          <w:ilvl w:val="1"/>
          <w:numId w:val="2"/>
        </w:numPr>
        <w:spacing w:after="60" w:line="276"/>
      </w:pPr>
      <w:r>
        <w:rPr>
          <w:rFonts w:ascii="Arial" w:cs="Arial" w:eastAsia="Arial" w:hAnsi="Arial"/>
          <w:color w:val="1E293B"/>
          <w:sz w:val="22"/>
          <w:szCs w:val="22"/>
        </w:rPr>
        <w:t xml:space="preserve">Week 1: Initiate load testing with 200M node dataset (due Q1 2026)</w:t>
      </w:r>
    </w:p>
    <w:p>
      <w:pPr>
        <w:pStyle w:val="ListParagraph"/>
        <w:numPr>
          <w:ilvl w:val="1"/>
          <w:numId w:val="2"/>
        </w:numPr>
        <w:spacing w:after="60" w:line="276"/>
      </w:pPr>
      <w:r>
        <w:rPr>
          <w:rFonts w:ascii="Arial" w:cs="Arial" w:eastAsia="Arial" w:hAnsi="Arial"/>
          <w:color w:val="1E293B"/>
          <w:sz w:val="22"/>
          <w:szCs w:val="22"/>
        </w:rPr>
        <w:t xml:space="preserve">Week 2: Engage Neo4j Professional Services for architecture review</w:t>
      </w:r>
    </w:p>
    <w:p>
      <w:pPr>
        <w:pStyle w:val="ListParagraph"/>
        <w:numPr>
          <w:ilvl w:val="1"/>
          <w:numId w:val="2"/>
        </w:numPr>
        <w:spacing w:after="60" w:line="276"/>
      </w:pPr>
      <w:r>
        <w:rPr>
          <w:rFonts w:ascii="Arial" w:cs="Arial" w:eastAsia="Arial" w:hAnsi="Arial"/>
          <w:color w:val="1E293B"/>
          <w:sz w:val="22"/>
          <w:szCs w:val="22"/>
        </w:rPr>
        <w:t xml:space="preserve">Week 3: Design and prototype sharding strategy</w:t>
      </w:r>
    </w:p>
    <w:p>
      <w:pPr>
        <w:pStyle w:val="ListParagraph"/>
        <w:numPr>
          <w:ilvl w:val="1"/>
          <w:numId w:val="2"/>
        </w:numPr>
        <w:spacing w:after="60" w:line="276"/>
      </w:pPr>
      <w:r>
        <w:rPr>
          <w:rFonts w:ascii="Arial" w:cs="Arial" w:eastAsia="Arial" w:hAnsi="Arial"/>
          <w:color w:val="1E293B"/>
          <w:sz w:val="22"/>
          <w:szCs w:val="22"/>
        </w:rPr>
        <w:t xml:space="preserve">Week 4: Present findings to Technical Steering Committee</w:t>
      </w:r>
    </w:p>
    <w:p>
      <w:pPr>
        <w:pStyle w:val="ListParagraph"/>
        <w:numPr>
          <w:ilvl w:val="0"/>
          <w:numId w:val="2"/>
        </w:numPr>
        <w:spacing w:after="60" w:line="276"/>
      </w:pPr>
      <w:r>
        <w:rPr>
          <w:rFonts w:ascii="Arial" w:cs="Arial" w:eastAsia="Arial" w:hAnsi="Arial"/>
          <w:b/>
          <w:bCs/>
          <w:color w:val="1E293B"/>
          <w:sz w:val="22"/>
          <w:szCs w:val="22"/>
        </w:rPr>
        <w:t xml:space="preserve">Success Criteria</w:t>
      </w:r>
      <w:r>
        <w:rPr>
          <w:rFonts w:ascii="Arial" w:cs="Arial" w:eastAsia="Arial" w:hAnsi="Arial"/>
          <w:color w:val="1E293B"/>
          <w:sz w:val="22"/>
          <w:szCs w:val="22"/>
        </w:rPr>
        <w:t xml:space="preserve">: Achieve &lt;500ms query latency at 100M node scale</w:t>
      </w:r>
    </w:p>
    <w:p>
      <w:pPr>
        <w:pStyle w:val="ListParagraph"/>
        <w:numPr>
          <w:ilvl w:val="0"/>
          <w:numId w:val="2"/>
        </w:numPr>
        <w:spacing w:after="60" w:line="276"/>
      </w:pPr>
      <w:r>
        <w:rPr>
          <w:rFonts w:ascii="Arial" w:cs="Arial" w:eastAsia="Arial" w:hAnsi="Arial"/>
          <w:b/>
          <w:bCs/>
          <w:color w:val="1E293B"/>
          <w:sz w:val="22"/>
          <w:szCs w:val="22"/>
        </w:rPr>
        <w:t xml:space="preserve">Escalation</w:t>
      </w:r>
      <w:r>
        <w:rPr>
          <w:rFonts w:ascii="Arial" w:cs="Arial" w:eastAsia="Arial" w:hAnsi="Arial"/>
          <w:color w:val="1E293B"/>
          <w:sz w:val="22"/>
          <w:szCs w:val="22"/>
        </w:rPr>
        <w:t xml:space="preserve">: Chief Architect + CTO</w:t>
      </w:r>
    </w:p>
    <w:p>
      <w:pPr>
        <w:pStyle w:val="Heading3"/>
        <w:spacing w:before="280" w:after="160"/>
      </w:pPr>
      <w:r>
        <w:rPr>
          <w:rFonts w:ascii="Arial" w:cs="Arial" w:eastAsia="Arial" w:hAnsi="Arial"/>
          <w:b/>
          <w:bCs/>
          <w:color w:val="1E293B"/>
          <w:sz w:val="22"/>
          <w:szCs w:val="22"/>
        </w:rPr>
        <w:t xml:space="preserve">2. RISK-I01: Multi-System Data Consistency</w:t>
      </w:r>
    </w:p>
    <w:p>
      <w:pPr>
        <w:spacing w:after="120" w:line="276"/>
      </w:pPr>
      <w:r>
        <w:rPr>
          <w:rFonts w:ascii="Arial" w:cs="Arial" w:eastAsia="Arial" w:hAnsi="Arial"/>
          <w:b/>
          <w:bCs/>
          <w:color w:val="1E293B"/>
          <w:sz w:val="22"/>
          <w:szCs w:val="22"/>
        </w:rPr>
        <w:t xml:space="preserve">Risk Score: 16</w:t>
      </w:r>
      <w:r>
        <w:rPr>
          <w:rFonts w:ascii="Arial" w:cs="Arial" w:eastAsia="Arial" w:hAnsi="Arial"/>
          <w:color w:val="1E293B"/>
          <w:sz w:val="22"/>
          <w:szCs w:val="22"/>
        </w:rPr>
        <w:t xml:space="preserve"> | </w:t>
      </w:r>
      <w:r>
        <w:rPr>
          <w:rFonts w:ascii="Arial" w:cs="Arial" w:eastAsia="Arial" w:hAnsi="Arial"/>
          <w:b/>
          <w:bCs/>
          <w:color w:val="1E293B"/>
          <w:sz w:val="22"/>
          <w:szCs w:val="22"/>
        </w:rPr>
        <w:t xml:space="preserve">Priority: CRITICAL</w:t>
      </w:r>
      <w:r>
        <w:rPr>
          <w:rFonts w:ascii="Arial" w:cs="Arial" w:eastAsia="Arial" w:hAnsi="Arial"/>
          <w:color w:val="1E293B"/>
          <w:sz w:val="22"/>
          <w:szCs w:val="22"/>
        </w:rPr>
        <w:t xml:space="preserve"> | </w:t>
      </w:r>
      <w:r>
        <w:rPr>
          <w:rFonts w:ascii="Arial" w:cs="Arial" w:eastAsia="Arial" w:hAnsi="Arial"/>
          <w:b/>
          <w:bCs/>
          <w:color w:val="1E293B"/>
          <w:sz w:val="22"/>
          <w:szCs w:val="22"/>
        </w:rPr>
        <w:t xml:space="preserve">Owner: Data Architecture Lead</w:t>
      </w:r>
    </w:p>
    <w:p>
      <w:pPr>
        <w:pStyle w:val="ListParagraph"/>
        <w:numPr>
          <w:ilvl w:val="0"/>
          <w:numId w:val="2"/>
        </w:numPr>
        <w:spacing w:after="60" w:line="276"/>
      </w:pPr>
      <w:r>
        <w:rPr>
          <w:rFonts w:ascii="Arial" w:cs="Arial" w:eastAsia="Arial" w:hAnsi="Arial"/>
          <w:b/>
          <w:bCs/>
          <w:color w:val="1E293B"/>
          <w:sz w:val="22"/>
          <w:szCs w:val="22"/>
        </w:rPr>
        <w:t xml:space="preserve">Impact</w:t>
      </w:r>
      <w:r>
        <w:rPr>
          <w:rFonts w:ascii="Arial" w:cs="Arial" w:eastAsia="Arial" w:hAnsi="Arial"/>
          <w:color w:val="1E293B"/>
          <w:sz w:val="22"/>
          <w:szCs w:val="22"/>
        </w:rPr>
        <w:t xml:space="preserve">: Data reliability across Lake, DW, and analytics systems</w:t>
      </w:r>
    </w:p>
    <w:p>
      <w:pPr>
        <w:pStyle w:val="ListParagraph"/>
        <w:numPr>
          <w:ilvl w:val="0"/>
          <w:numId w:val="2"/>
        </w:numPr>
        <w:spacing w:after="60" w:line="276"/>
      </w:pPr>
      <w:r>
        <w:rPr>
          <w:rFonts w:ascii="Arial" w:cs="Arial" w:eastAsia="Arial" w:hAnsi="Arial"/>
          <w:b/>
          <w:bCs/>
          <w:color w:val="1E293B"/>
          <w:sz w:val="22"/>
          <w:szCs w:val="22"/>
        </w:rPr>
        <w:t xml:space="preserve">Action Items</w:t>
      </w:r>
      <w:r>
        <w:rPr>
          <w:rFonts w:ascii="Arial" w:cs="Arial" w:eastAsia="Arial" w:hAnsi="Arial"/>
          <w:color w:val="1E293B"/>
          <w:sz w:val="22"/>
          <w:szCs w:val="22"/>
        </w:rPr>
        <w:t xml:space="preserve">:</w:t>
      </w:r>
    </w:p>
    <w:p>
      <w:pPr>
        <w:pStyle w:val="ListParagraph"/>
        <w:numPr>
          <w:ilvl w:val="1"/>
          <w:numId w:val="2"/>
        </w:numPr>
        <w:spacing w:after="60" w:line="276"/>
      </w:pPr>
      <w:r>
        <w:rPr>
          <w:rFonts w:ascii="Arial" w:cs="Arial" w:eastAsia="Arial" w:hAnsi="Arial"/>
          <w:color w:val="1E293B"/>
          <w:sz w:val="22"/>
          <w:szCs w:val="22"/>
        </w:rPr>
        <w:t xml:space="preserve">Week 1: Map all data flows and consistency boundaries</w:t>
      </w:r>
    </w:p>
    <w:p>
      <w:pPr>
        <w:pStyle w:val="ListParagraph"/>
        <w:numPr>
          <w:ilvl w:val="1"/>
          <w:numId w:val="2"/>
        </w:numPr>
        <w:spacing w:after="60" w:line="276"/>
      </w:pPr>
      <w:r>
        <w:rPr>
          <w:rFonts w:ascii="Arial" w:cs="Arial" w:eastAsia="Arial" w:hAnsi="Arial"/>
          <w:color w:val="1E293B"/>
          <w:sz w:val="22"/>
          <w:szCs w:val="22"/>
        </w:rPr>
        <w:t xml:space="preserve">Week 2: Design event sourcing architecture</w:t>
      </w:r>
    </w:p>
    <w:p>
      <w:pPr>
        <w:pStyle w:val="ListParagraph"/>
        <w:numPr>
          <w:ilvl w:val="1"/>
          <w:numId w:val="2"/>
        </w:numPr>
        <w:spacing w:after="60" w:line="276"/>
      </w:pPr>
      <w:r>
        <w:rPr>
          <w:rFonts w:ascii="Arial" w:cs="Arial" w:eastAsia="Arial" w:hAnsi="Arial"/>
          <w:color w:val="1E293B"/>
          <w:sz w:val="22"/>
          <w:szCs w:val="22"/>
        </w:rPr>
        <w:t xml:space="preserve">Week 3: Prototype data reconciliation process</w:t>
      </w:r>
    </w:p>
    <w:p>
      <w:pPr>
        <w:pStyle w:val="ListParagraph"/>
        <w:numPr>
          <w:ilvl w:val="1"/>
          <w:numId w:val="2"/>
        </w:numPr>
        <w:spacing w:after="60" w:line="276"/>
      </w:pPr>
      <w:r>
        <w:rPr>
          <w:rFonts w:ascii="Arial" w:cs="Arial" w:eastAsia="Arial" w:hAnsi="Arial"/>
          <w:color w:val="1E293B"/>
          <w:sz w:val="22"/>
          <w:szCs w:val="22"/>
        </w:rPr>
        <w:t xml:space="preserve">Week 4: Present implementation roadmap</w:t>
      </w:r>
    </w:p>
    <w:p>
      <w:pPr>
        <w:pStyle w:val="ListParagraph"/>
        <w:numPr>
          <w:ilvl w:val="0"/>
          <w:numId w:val="2"/>
        </w:numPr>
        <w:spacing w:after="60" w:line="276"/>
      </w:pPr>
      <w:r>
        <w:rPr>
          <w:rFonts w:ascii="Arial" w:cs="Arial" w:eastAsia="Arial" w:hAnsi="Arial"/>
          <w:b/>
          <w:bCs/>
          <w:color w:val="1E293B"/>
          <w:sz w:val="22"/>
          <w:szCs w:val="22"/>
        </w:rPr>
        <w:t xml:space="preserve">Success Criteria</w:t>
      </w:r>
      <w:r>
        <w:rPr>
          <w:rFonts w:ascii="Arial" w:cs="Arial" w:eastAsia="Arial" w:hAnsi="Arial"/>
          <w:color w:val="1E293B"/>
          <w:sz w:val="22"/>
          <w:szCs w:val="22"/>
        </w:rPr>
        <w:t xml:space="preserve">: &lt;5 minute eventual consistency window documented and tested</w:t>
      </w:r>
    </w:p>
    <w:p>
      <w:pPr>
        <w:pStyle w:val="ListParagraph"/>
        <w:numPr>
          <w:ilvl w:val="0"/>
          <w:numId w:val="2"/>
        </w:numPr>
        <w:spacing w:after="60" w:line="276"/>
      </w:pPr>
      <w:r>
        <w:rPr>
          <w:rFonts w:ascii="Arial" w:cs="Arial" w:eastAsia="Arial" w:hAnsi="Arial"/>
          <w:b/>
          <w:bCs/>
          <w:color w:val="1E293B"/>
          <w:sz w:val="22"/>
          <w:szCs w:val="22"/>
        </w:rPr>
        <w:t xml:space="preserve">Escalation</w:t>
      </w:r>
      <w:r>
        <w:rPr>
          <w:rFonts w:ascii="Arial" w:cs="Arial" w:eastAsia="Arial" w:hAnsi="Arial"/>
          <w:color w:val="1E293B"/>
          <w:sz w:val="22"/>
          <w:szCs w:val="22"/>
        </w:rPr>
        <w:t xml:space="preserve">: Chief Data Officer + VP Engineering</w:t>
      </w:r>
    </w:p>
    <w:p>
      <w:pPr>
        <w:pStyle w:val="Heading3"/>
        <w:spacing w:before="280" w:after="160"/>
      </w:pPr>
      <w:r>
        <w:rPr>
          <w:rFonts w:ascii="Arial" w:cs="Arial" w:eastAsia="Arial" w:hAnsi="Arial"/>
          <w:b/>
          <w:bCs/>
          <w:color w:val="1E293B"/>
          <w:sz w:val="22"/>
          <w:szCs w:val="22"/>
        </w:rPr>
        <w:t xml:space="preserve">3. RISK-T02: ML Model Accuracy and Drift</w:t>
      </w:r>
    </w:p>
    <w:p>
      <w:pPr>
        <w:spacing w:after="120" w:line="276"/>
      </w:pPr>
      <w:r>
        <w:rPr>
          <w:rFonts w:ascii="Arial" w:cs="Arial" w:eastAsia="Arial" w:hAnsi="Arial"/>
          <w:b/>
          <w:bCs/>
          <w:color w:val="1E293B"/>
          <w:sz w:val="22"/>
          <w:szCs w:val="22"/>
        </w:rPr>
        <w:t xml:space="preserve">Risk Score: 16</w:t>
      </w:r>
      <w:r>
        <w:rPr>
          <w:rFonts w:ascii="Arial" w:cs="Arial" w:eastAsia="Arial" w:hAnsi="Arial"/>
          <w:color w:val="1E293B"/>
          <w:sz w:val="22"/>
          <w:szCs w:val="22"/>
        </w:rPr>
        <w:t xml:space="preserve"> | </w:t>
      </w:r>
      <w:r>
        <w:rPr>
          <w:rFonts w:ascii="Arial" w:cs="Arial" w:eastAsia="Arial" w:hAnsi="Arial"/>
          <w:b/>
          <w:bCs/>
          <w:color w:val="1E293B"/>
          <w:sz w:val="22"/>
          <w:szCs w:val="22"/>
        </w:rPr>
        <w:t xml:space="preserve">Priority: CRITICAL</w:t>
      </w:r>
      <w:r>
        <w:rPr>
          <w:rFonts w:ascii="Arial" w:cs="Arial" w:eastAsia="Arial" w:hAnsi="Arial"/>
          <w:color w:val="1E293B"/>
          <w:sz w:val="22"/>
          <w:szCs w:val="22"/>
        </w:rPr>
        <w:t xml:space="preserve"> | </w:t>
      </w:r>
      <w:r>
        <w:rPr>
          <w:rFonts w:ascii="Arial" w:cs="Arial" w:eastAsia="Arial" w:hAnsi="Arial"/>
          <w:b/>
          <w:bCs/>
          <w:color w:val="1E293B"/>
          <w:sz w:val="22"/>
          <w:szCs w:val="22"/>
        </w:rPr>
        <w:t xml:space="preserve">Owner: ML Engineering Lead</w:t>
      </w:r>
    </w:p>
    <w:p>
      <w:pPr>
        <w:pStyle w:val="ListParagraph"/>
        <w:numPr>
          <w:ilvl w:val="0"/>
          <w:numId w:val="2"/>
        </w:numPr>
        <w:spacing w:after="60" w:line="276"/>
      </w:pPr>
      <w:r>
        <w:rPr>
          <w:rFonts w:ascii="Arial" w:cs="Arial" w:eastAsia="Arial" w:hAnsi="Arial"/>
          <w:b/>
          <w:bCs/>
          <w:color w:val="1E293B"/>
          <w:sz w:val="22"/>
          <w:szCs w:val="22"/>
        </w:rPr>
        <w:t xml:space="preserve">Impact</w:t>
      </w:r>
      <w:r>
        <w:rPr>
          <w:rFonts w:ascii="Arial" w:cs="Arial" w:eastAsia="Arial" w:hAnsi="Arial"/>
          <w:color w:val="1E293B"/>
          <w:sz w:val="22"/>
          <w:szCs w:val="22"/>
        </w:rPr>
        <w:t xml:space="preserve">: Prediction reliability for autonomous remediation</w:t>
      </w:r>
    </w:p>
    <w:p>
      <w:pPr>
        <w:pStyle w:val="ListParagraph"/>
        <w:numPr>
          <w:ilvl w:val="0"/>
          <w:numId w:val="2"/>
        </w:numPr>
        <w:spacing w:after="60" w:line="276"/>
      </w:pPr>
      <w:r>
        <w:rPr>
          <w:rFonts w:ascii="Arial" w:cs="Arial" w:eastAsia="Arial" w:hAnsi="Arial"/>
          <w:b/>
          <w:bCs/>
          <w:color w:val="1E293B"/>
          <w:sz w:val="22"/>
          <w:szCs w:val="22"/>
        </w:rPr>
        <w:t xml:space="preserve">Action Items</w:t>
      </w:r>
      <w:r>
        <w:rPr>
          <w:rFonts w:ascii="Arial" w:cs="Arial" w:eastAsia="Arial" w:hAnsi="Arial"/>
          <w:color w:val="1E293B"/>
          <w:sz w:val="22"/>
          <w:szCs w:val="22"/>
        </w:rPr>
        <w:t xml:space="preserve">:</w:t>
      </w:r>
    </w:p>
    <w:p>
      <w:pPr>
        <w:pStyle w:val="ListParagraph"/>
        <w:numPr>
          <w:ilvl w:val="1"/>
          <w:numId w:val="2"/>
        </w:numPr>
        <w:spacing w:after="60" w:line="276"/>
      </w:pPr>
      <w:r>
        <w:rPr>
          <w:rFonts w:ascii="Arial" w:cs="Arial" w:eastAsia="Arial" w:hAnsi="Arial"/>
          <w:color w:val="1E293B"/>
          <w:sz w:val="22"/>
          <w:szCs w:val="22"/>
        </w:rPr>
        <w:t xml:space="preserve">Week 1: Establish baseline accuracy metrics (current: 78%)</w:t>
      </w:r>
    </w:p>
    <w:p>
      <w:pPr>
        <w:pStyle w:val="ListParagraph"/>
        <w:numPr>
          <w:ilvl w:val="1"/>
          <w:numId w:val="2"/>
        </w:numPr>
        <w:spacing w:after="60" w:line="276"/>
      </w:pPr>
      <w:r>
        <w:rPr>
          <w:rFonts w:ascii="Arial" w:cs="Arial" w:eastAsia="Arial" w:hAnsi="Arial"/>
          <w:color w:val="1E293B"/>
          <w:sz w:val="22"/>
          <w:szCs w:val="22"/>
        </w:rPr>
        <w:t xml:space="preserve">Week 2: Design drift detection architecture</w:t>
      </w:r>
    </w:p>
    <w:p>
      <w:pPr>
        <w:pStyle w:val="ListParagraph"/>
        <w:numPr>
          <w:ilvl w:val="1"/>
          <w:numId w:val="2"/>
        </w:numPr>
        <w:spacing w:after="60" w:line="276"/>
      </w:pPr>
      <w:r>
        <w:rPr>
          <w:rFonts w:ascii="Arial" w:cs="Arial" w:eastAsia="Arial" w:hAnsi="Arial"/>
          <w:color w:val="1E293B"/>
          <w:sz w:val="22"/>
          <w:szCs w:val="22"/>
        </w:rPr>
        <w:t xml:space="preserve">Week 3: Implement automated retraining pipeline</w:t>
      </w:r>
    </w:p>
    <w:p>
      <w:pPr>
        <w:pStyle w:val="ListParagraph"/>
        <w:numPr>
          <w:ilvl w:val="1"/>
          <w:numId w:val="2"/>
        </w:numPr>
        <w:spacing w:after="60" w:line="276"/>
      </w:pPr>
      <w:r>
        <w:rPr>
          <w:rFonts w:ascii="Arial" w:cs="Arial" w:eastAsia="Arial" w:hAnsi="Arial"/>
          <w:color w:val="1E293B"/>
          <w:sz w:val="22"/>
          <w:szCs w:val="22"/>
        </w:rPr>
        <w:t xml:space="preserve">Week 4: Deploy A/B testing framework</w:t>
      </w:r>
    </w:p>
    <w:p>
      <w:pPr>
        <w:pStyle w:val="ListParagraph"/>
        <w:numPr>
          <w:ilvl w:val="0"/>
          <w:numId w:val="2"/>
        </w:numPr>
        <w:spacing w:after="60" w:line="276"/>
      </w:pPr>
      <w:r>
        <w:rPr>
          <w:rFonts w:ascii="Arial" w:cs="Arial" w:eastAsia="Arial" w:hAnsi="Arial"/>
          <w:b/>
          <w:bCs/>
          <w:color w:val="1E293B"/>
          <w:sz w:val="22"/>
          <w:szCs w:val="22"/>
        </w:rPr>
        <w:t xml:space="preserve">Success Criteria</w:t>
      </w:r>
      <w:r>
        <w:rPr>
          <w:rFonts w:ascii="Arial" w:cs="Arial" w:eastAsia="Arial" w:hAnsi="Arial"/>
          <w:color w:val="1E293B"/>
          <w:sz w:val="22"/>
          <w:szCs w:val="22"/>
        </w:rPr>
        <w:t xml:space="preserve">: Automated drift detection deployed, retraining pipeline operational</w:t>
      </w:r>
    </w:p>
    <w:p>
      <w:pPr>
        <w:pStyle w:val="ListParagraph"/>
        <w:numPr>
          <w:ilvl w:val="0"/>
          <w:numId w:val="2"/>
        </w:numPr>
        <w:spacing w:after="60" w:line="276"/>
      </w:pPr>
      <w:r>
        <w:rPr>
          <w:rFonts w:ascii="Arial" w:cs="Arial" w:eastAsia="Arial" w:hAnsi="Arial"/>
          <w:b/>
          <w:bCs/>
          <w:color w:val="1E293B"/>
          <w:sz w:val="22"/>
          <w:szCs w:val="22"/>
        </w:rPr>
        <w:t xml:space="preserve">Escalation</w:t>
      </w:r>
      <w:r>
        <w:rPr>
          <w:rFonts w:ascii="Arial" w:cs="Arial" w:eastAsia="Arial" w:hAnsi="Arial"/>
          <w:color w:val="1E293B"/>
          <w:sz w:val="22"/>
          <w:szCs w:val="22"/>
        </w:rPr>
        <w:t xml:space="preserve">: Chief Data Scientist + VP Engineering</w:t>
      </w:r>
    </w:p>
    <w:p>
      <w:pPr>
        <w:pStyle w:val="Heading3"/>
        <w:spacing w:before="280" w:after="160"/>
      </w:pPr>
      <w:r>
        <w:rPr>
          <w:rFonts w:ascii="Arial" w:cs="Arial" w:eastAsia="Arial" w:hAnsi="Arial"/>
          <w:b/>
          <w:bCs/>
          <w:color w:val="1E293B"/>
          <w:sz w:val="22"/>
          <w:szCs w:val="22"/>
        </w:rPr>
        <w:t xml:space="preserve">4. RISK-S01: LLM Data Privacy and PII Exposure</w:t>
      </w:r>
    </w:p>
    <w:p>
      <w:pPr>
        <w:spacing w:after="120" w:line="276"/>
      </w:pPr>
      <w:r>
        <w:rPr>
          <w:rFonts w:ascii="Arial" w:cs="Arial" w:eastAsia="Arial" w:hAnsi="Arial"/>
          <w:b/>
          <w:bCs/>
          <w:color w:val="1E293B"/>
          <w:sz w:val="22"/>
          <w:szCs w:val="22"/>
        </w:rPr>
        <w:t xml:space="preserve">Risk Score: 12</w:t>
      </w:r>
      <w:r>
        <w:rPr>
          <w:rFonts w:ascii="Arial" w:cs="Arial" w:eastAsia="Arial" w:hAnsi="Arial"/>
          <w:color w:val="1E293B"/>
          <w:sz w:val="22"/>
          <w:szCs w:val="22"/>
        </w:rPr>
        <w:t xml:space="preserve"> | </w:t>
      </w:r>
      <w:r>
        <w:rPr>
          <w:rFonts w:ascii="Arial" w:cs="Arial" w:eastAsia="Arial" w:hAnsi="Arial"/>
          <w:b/>
          <w:bCs/>
          <w:color w:val="1E293B"/>
          <w:sz w:val="22"/>
          <w:szCs w:val="22"/>
        </w:rPr>
        <w:t xml:space="preserve">Priority: HIGH</w:t>
      </w:r>
      <w:r>
        <w:rPr>
          <w:rFonts w:ascii="Arial" w:cs="Arial" w:eastAsia="Arial" w:hAnsi="Arial"/>
          <w:color w:val="1E293B"/>
          <w:sz w:val="22"/>
          <w:szCs w:val="22"/>
        </w:rPr>
        <w:t xml:space="preserve"> | </w:t>
      </w:r>
      <w:r>
        <w:rPr>
          <w:rFonts w:ascii="Arial" w:cs="Arial" w:eastAsia="Arial" w:hAnsi="Arial"/>
          <w:b/>
          <w:bCs/>
          <w:color w:val="1E293B"/>
          <w:sz w:val="22"/>
          <w:szCs w:val="22"/>
        </w:rPr>
        <w:t xml:space="preserve">Owner: Chief Security Officer</w:t>
      </w:r>
    </w:p>
    <w:p>
      <w:pPr>
        <w:pStyle w:val="ListParagraph"/>
        <w:numPr>
          <w:ilvl w:val="0"/>
          <w:numId w:val="2"/>
        </w:numPr>
        <w:spacing w:after="60" w:line="276"/>
      </w:pPr>
      <w:r>
        <w:rPr>
          <w:rFonts w:ascii="Arial" w:cs="Arial" w:eastAsia="Arial" w:hAnsi="Arial"/>
          <w:b/>
          <w:bCs/>
          <w:color w:val="1E293B"/>
          <w:sz w:val="22"/>
          <w:szCs w:val="22"/>
        </w:rPr>
        <w:t xml:space="preserve">Impact</w:t>
      </w:r>
      <w:r>
        <w:rPr>
          <w:rFonts w:ascii="Arial" w:cs="Arial" w:eastAsia="Arial" w:hAnsi="Arial"/>
          <w:color w:val="1E293B"/>
          <w:sz w:val="22"/>
          <w:szCs w:val="22"/>
        </w:rPr>
        <w:t xml:space="preserve">: Regulatory compliance (GDPR, APPs) and data protection</w:t>
      </w:r>
    </w:p>
    <w:p>
      <w:pPr>
        <w:pStyle w:val="ListParagraph"/>
        <w:numPr>
          <w:ilvl w:val="0"/>
          <w:numId w:val="2"/>
        </w:numPr>
        <w:spacing w:after="60" w:line="276"/>
      </w:pPr>
      <w:r>
        <w:rPr>
          <w:rFonts w:ascii="Arial" w:cs="Arial" w:eastAsia="Arial" w:hAnsi="Arial"/>
          <w:b/>
          <w:bCs/>
          <w:color w:val="1E293B"/>
          <w:sz w:val="22"/>
          <w:szCs w:val="22"/>
        </w:rPr>
        <w:t xml:space="preserve">Action Items</w:t>
      </w:r>
      <w:r>
        <w:rPr>
          <w:rFonts w:ascii="Arial" w:cs="Arial" w:eastAsia="Arial" w:hAnsi="Arial"/>
          <w:color w:val="1E293B"/>
          <w:sz w:val="22"/>
          <w:szCs w:val="22"/>
        </w:rPr>
        <w:t xml:space="preserve">:</w:t>
      </w:r>
    </w:p>
    <w:p>
      <w:pPr>
        <w:pStyle w:val="ListParagraph"/>
        <w:numPr>
          <w:ilvl w:val="1"/>
          <w:numId w:val="2"/>
        </w:numPr>
        <w:spacing w:after="60" w:line="276"/>
      </w:pPr>
      <w:r>
        <w:rPr>
          <w:rFonts w:ascii="Arial" w:cs="Arial" w:eastAsia="Arial" w:hAnsi="Arial"/>
          <w:color w:val="1E293B"/>
          <w:sz w:val="22"/>
          <w:szCs w:val="22"/>
        </w:rPr>
        <w:t xml:space="preserve">Immediate: Assess current PII exposure (audit of all data sent to OpenAI)</w:t>
      </w:r>
    </w:p>
    <w:p>
      <w:pPr>
        <w:pStyle w:val="ListParagraph"/>
        <w:numPr>
          <w:ilvl w:val="1"/>
          <w:numId w:val="2"/>
        </w:numPr>
        <w:spacing w:after="60" w:line="276"/>
      </w:pPr>
      <w:r>
        <w:rPr>
          <w:rFonts w:ascii="Arial" w:cs="Arial" w:eastAsia="Arial" w:hAnsi="Arial"/>
          <w:color w:val="1E293B"/>
          <w:sz w:val="22"/>
          <w:szCs w:val="22"/>
        </w:rPr>
        <w:t xml:space="preserve">Week 1: Implement data masking in pre-processing pipeline</w:t>
      </w:r>
    </w:p>
    <w:p>
      <w:pPr>
        <w:pStyle w:val="ListParagraph"/>
        <w:numPr>
          <w:ilvl w:val="1"/>
          <w:numId w:val="2"/>
        </w:numPr>
        <w:spacing w:after="60" w:line="276"/>
      </w:pPr>
      <w:r>
        <w:rPr>
          <w:rFonts w:ascii="Arial" w:cs="Arial" w:eastAsia="Arial" w:hAnsi="Arial"/>
          <w:color w:val="1E293B"/>
          <w:sz w:val="22"/>
          <w:szCs w:val="22"/>
        </w:rPr>
        <w:t xml:space="preserve">Week 2: Engage legal and privacy teams for compliance review</w:t>
      </w:r>
    </w:p>
    <w:p>
      <w:pPr>
        <w:pStyle w:val="ListParagraph"/>
        <w:numPr>
          <w:ilvl w:val="1"/>
          <w:numId w:val="2"/>
        </w:numPr>
        <w:spacing w:after="60" w:line="276"/>
      </w:pPr>
      <w:r>
        <w:rPr>
          <w:rFonts w:ascii="Arial" w:cs="Arial" w:eastAsia="Arial" w:hAnsi="Arial"/>
          <w:color w:val="1E293B"/>
          <w:sz w:val="22"/>
          <w:szCs w:val="22"/>
        </w:rPr>
        <w:t xml:space="preserve">Week 3: Execute Azure OpenAI integration with Private Link</w:t>
      </w:r>
    </w:p>
    <w:p>
      <w:pPr>
        <w:pStyle w:val="ListParagraph"/>
        <w:numPr>
          <w:ilvl w:val="0"/>
          <w:numId w:val="2"/>
        </w:numPr>
        <w:spacing w:after="60" w:line="276"/>
      </w:pPr>
      <w:r>
        <w:rPr>
          <w:rFonts w:ascii="Arial" w:cs="Arial" w:eastAsia="Arial" w:hAnsi="Arial"/>
          <w:b/>
          <w:bCs/>
          <w:color w:val="1E293B"/>
          <w:sz w:val="22"/>
          <w:szCs w:val="22"/>
        </w:rPr>
        <w:t xml:space="preserve">Success Criteria</w:t>
      </w:r>
      <w:r>
        <w:rPr>
          <w:rFonts w:ascii="Arial" w:cs="Arial" w:eastAsia="Arial" w:hAnsi="Arial"/>
          <w:color w:val="1E293B"/>
          <w:sz w:val="22"/>
          <w:szCs w:val="22"/>
        </w:rPr>
        <w:t xml:space="preserve">: PII detection and masking deployed, DPA in place</w:t>
      </w:r>
    </w:p>
    <w:p>
      <w:pPr>
        <w:pStyle w:val="ListParagraph"/>
        <w:numPr>
          <w:ilvl w:val="0"/>
          <w:numId w:val="2"/>
        </w:numPr>
        <w:spacing w:after="60" w:line="276"/>
      </w:pPr>
      <w:r>
        <w:rPr>
          <w:rFonts w:ascii="Arial" w:cs="Arial" w:eastAsia="Arial" w:hAnsi="Arial"/>
          <w:b/>
          <w:bCs/>
          <w:color w:val="1E293B"/>
          <w:sz w:val="22"/>
          <w:szCs w:val="22"/>
        </w:rPr>
        <w:t xml:space="preserve">Escalation</w:t>
      </w:r>
      <w:r>
        <w:rPr>
          <w:rFonts w:ascii="Arial" w:cs="Arial" w:eastAsia="Arial" w:hAnsi="Arial"/>
          <w:color w:val="1E293B"/>
          <w:sz w:val="22"/>
          <w:szCs w:val="22"/>
        </w:rPr>
        <w:t xml:space="preserve">: Chief Legal Officer + Chief Security Officer</w:t>
      </w:r>
    </w:p>
    <w:p>
      <w:pPr>
        <w:pStyle w:val="Heading3"/>
        <w:spacing w:before="280" w:after="160"/>
      </w:pPr>
      <w:r>
        <w:rPr>
          <w:rFonts w:ascii="Arial" w:cs="Arial" w:eastAsia="Arial" w:hAnsi="Arial"/>
          <w:b/>
          <w:bCs/>
          <w:color w:val="1E293B"/>
          <w:sz w:val="22"/>
          <w:szCs w:val="22"/>
        </w:rPr>
        <w:t xml:space="preserve">5. RISK-S03: Closed-Loop Automation Safety Controls</w:t>
      </w:r>
    </w:p>
    <w:p>
      <w:pPr>
        <w:spacing w:after="120" w:line="276"/>
      </w:pPr>
      <w:r>
        <w:rPr>
          <w:rFonts w:ascii="Arial" w:cs="Arial" w:eastAsia="Arial" w:hAnsi="Arial"/>
          <w:b/>
          <w:bCs/>
          <w:color w:val="1E293B"/>
          <w:sz w:val="22"/>
          <w:szCs w:val="22"/>
        </w:rPr>
        <w:t xml:space="preserve">Risk Score: 12</w:t>
      </w:r>
      <w:r>
        <w:rPr>
          <w:rFonts w:ascii="Arial" w:cs="Arial" w:eastAsia="Arial" w:hAnsi="Arial"/>
          <w:color w:val="1E293B"/>
          <w:sz w:val="22"/>
          <w:szCs w:val="22"/>
        </w:rPr>
        <w:t xml:space="preserve"> | </w:t>
      </w:r>
      <w:r>
        <w:rPr>
          <w:rFonts w:ascii="Arial" w:cs="Arial" w:eastAsia="Arial" w:hAnsi="Arial"/>
          <w:b/>
          <w:bCs/>
          <w:color w:val="1E293B"/>
          <w:sz w:val="22"/>
          <w:szCs w:val="22"/>
        </w:rPr>
        <w:t xml:space="preserve">Priority: HIGH</w:t>
      </w:r>
      <w:r>
        <w:rPr>
          <w:rFonts w:ascii="Arial" w:cs="Arial" w:eastAsia="Arial" w:hAnsi="Arial"/>
          <w:color w:val="1E293B"/>
          <w:sz w:val="22"/>
          <w:szCs w:val="22"/>
        </w:rPr>
        <w:t xml:space="preserve"> | </w:t>
      </w:r>
      <w:r>
        <w:rPr>
          <w:rFonts w:ascii="Arial" w:cs="Arial" w:eastAsia="Arial" w:hAnsi="Arial"/>
          <w:b/>
          <w:bCs/>
          <w:color w:val="1E293B"/>
          <w:sz w:val="22"/>
          <w:szCs w:val="22"/>
        </w:rPr>
        <w:t xml:space="preserve">Owner: Autonomous Systems Safety Officer</w:t>
      </w:r>
    </w:p>
    <w:p>
      <w:pPr>
        <w:pStyle w:val="ListParagraph"/>
        <w:numPr>
          <w:ilvl w:val="0"/>
          <w:numId w:val="2"/>
        </w:numPr>
        <w:spacing w:after="60" w:line="276"/>
      </w:pPr>
      <w:r>
        <w:rPr>
          <w:rFonts w:ascii="Arial" w:cs="Arial" w:eastAsia="Arial" w:hAnsi="Arial"/>
          <w:b/>
          <w:bCs/>
          <w:color w:val="1E293B"/>
          <w:sz w:val="22"/>
          <w:szCs w:val="22"/>
        </w:rPr>
        <w:t xml:space="preserve">Impact</w:t>
      </w:r>
      <w:r>
        <w:rPr>
          <w:rFonts w:ascii="Arial" w:cs="Arial" w:eastAsia="Arial" w:hAnsi="Arial"/>
          <w:color w:val="1E293B"/>
          <w:sz w:val="22"/>
          <w:szCs w:val="22"/>
        </w:rPr>
        <w:t xml:space="preserve">: Operational safety and rollback capability</w:t>
      </w:r>
    </w:p>
    <w:p>
      <w:pPr>
        <w:pStyle w:val="ListParagraph"/>
        <w:numPr>
          <w:ilvl w:val="0"/>
          <w:numId w:val="2"/>
        </w:numPr>
        <w:spacing w:after="60" w:line="276"/>
      </w:pPr>
      <w:r>
        <w:rPr>
          <w:rFonts w:ascii="Arial" w:cs="Arial" w:eastAsia="Arial" w:hAnsi="Arial"/>
          <w:b/>
          <w:bCs/>
          <w:color w:val="1E293B"/>
          <w:sz w:val="22"/>
          <w:szCs w:val="22"/>
        </w:rPr>
        <w:t xml:space="preserve">Action Items</w:t>
      </w:r>
      <w:r>
        <w:rPr>
          <w:rFonts w:ascii="Arial" w:cs="Arial" w:eastAsia="Arial" w:hAnsi="Arial"/>
          <w:color w:val="1E293B"/>
          <w:sz w:val="22"/>
          <w:szCs w:val="22"/>
        </w:rPr>
        <w:t xml:space="preserve">:</w:t>
      </w:r>
    </w:p>
    <w:p>
      <w:pPr>
        <w:pStyle w:val="ListParagraph"/>
        <w:numPr>
          <w:ilvl w:val="1"/>
          <w:numId w:val="2"/>
        </w:numPr>
        <w:spacing w:after="60" w:line="276"/>
      </w:pPr>
      <w:r>
        <w:rPr>
          <w:rFonts w:ascii="Arial" w:cs="Arial" w:eastAsia="Arial" w:hAnsi="Arial"/>
          <w:color w:val="1E293B"/>
          <w:sz w:val="22"/>
          <w:szCs w:val="22"/>
        </w:rPr>
        <w:t xml:space="preserve">Week 1: Define safety requirements and approval workflows</w:t>
      </w:r>
    </w:p>
    <w:p>
      <w:pPr>
        <w:pStyle w:val="ListParagraph"/>
        <w:numPr>
          <w:ilvl w:val="1"/>
          <w:numId w:val="2"/>
        </w:numPr>
        <w:spacing w:after="60" w:line="276"/>
      </w:pPr>
      <w:r>
        <w:rPr>
          <w:rFonts w:ascii="Arial" w:cs="Arial" w:eastAsia="Arial" w:hAnsi="Arial"/>
          <w:color w:val="1E293B"/>
          <w:sz w:val="22"/>
          <w:szCs w:val="22"/>
        </w:rPr>
        <w:t xml:space="preserve">Week 2: Design blast radius limiting and rollback mechanisms</w:t>
      </w:r>
    </w:p>
    <w:p>
      <w:pPr>
        <w:pStyle w:val="ListParagraph"/>
        <w:numPr>
          <w:ilvl w:val="1"/>
          <w:numId w:val="2"/>
        </w:numPr>
        <w:spacing w:after="60" w:line="276"/>
      </w:pPr>
      <w:r>
        <w:rPr>
          <w:rFonts w:ascii="Arial" w:cs="Arial" w:eastAsia="Arial" w:hAnsi="Arial"/>
          <w:color w:val="1E293B"/>
          <w:sz w:val="22"/>
          <w:szCs w:val="22"/>
        </w:rPr>
        <w:t xml:space="preserve">Week 3: Conduct war game and failure scenarios testing</w:t>
      </w:r>
    </w:p>
    <w:p>
      <w:pPr>
        <w:pStyle w:val="ListParagraph"/>
        <w:numPr>
          <w:ilvl w:val="1"/>
          <w:numId w:val="2"/>
        </w:numPr>
        <w:spacing w:after="60" w:line="276"/>
      </w:pPr>
      <w:r>
        <w:rPr>
          <w:rFonts w:ascii="Arial" w:cs="Arial" w:eastAsia="Arial" w:hAnsi="Arial"/>
          <w:color w:val="1E293B"/>
          <w:sz w:val="22"/>
          <w:szCs w:val="22"/>
        </w:rPr>
        <w:t xml:space="preserve">Week 4: Implement emergency brake system</w:t>
      </w:r>
    </w:p>
    <w:p>
      <w:pPr>
        <w:pStyle w:val="ListParagraph"/>
        <w:numPr>
          <w:ilvl w:val="0"/>
          <w:numId w:val="2"/>
        </w:numPr>
        <w:spacing w:after="60" w:line="276"/>
      </w:pPr>
      <w:r>
        <w:rPr>
          <w:rFonts w:ascii="Arial" w:cs="Arial" w:eastAsia="Arial" w:hAnsi="Arial"/>
          <w:b/>
          <w:bCs/>
          <w:color w:val="1E293B"/>
          <w:sz w:val="22"/>
          <w:szCs w:val="22"/>
        </w:rPr>
        <w:t xml:space="preserve">Success Criteria</w:t>
      </w:r>
      <w:r>
        <w:rPr>
          <w:rFonts w:ascii="Arial" w:cs="Arial" w:eastAsia="Arial" w:hAnsi="Arial"/>
          <w:color w:val="1E293B"/>
          <w:sz w:val="22"/>
          <w:szCs w:val="22"/>
        </w:rPr>
        <w:t xml:space="preserve">: Multi-stage approval deployed, rollback tested, &lt;5% blast radius</w:t>
      </w:r>
    </w:p>
    <w:p>
      <w:pPr>
        <w:pStyle w:val="ListParagraph"/>
        <w:numPr>
          <w:ilvl w:val="0"/>
          <w:numId w:val="2"/>
        </w:numPr>
        <w:spacing w:after="60" w:line="276"/>
      </w:pPr>
      <w:r>
        <w:rPr>
          <w:rFonts w:ascii="Arial" w:cs="Arial" w:eastAsia="Arial" w:hAnsi="Arial"/>
          <w:b/>
          <w:bCs/>
          <w:color w:val="1E293B"/>
          <w:sz w:val="22"/>
          <w:szCs w:val="22"/>
        </w:rPr>
        <w:t xml:space="preserve">Escalation</w:t>
      </w:r>
      <w:r>
        <w:rPr>
          <w:rFonts w:ascii="Arial" w:cs="Arial" w:eastAsia="Arial" w:hAnsi="Arial"/>
          <w:color w:val="1E293B"/>
          <w:sz w:val="22"/>
          <w:szCs w:val="22"/>
        </w:rPr>
        <w:t xml:space="preserve">: Chief Operations Officer + Chief Architect</w:t>
      </w:r>
    </w:p>
    <w:p>
      <w:pPr>
        <w:spacing w:after="120" w:line="276"/>
      </w:pPr>
      <w:r>
        <w:rPr>
          <w:rFonts w:ascii="Arial" w:cs="Arial" w:eastAsia="Arial" w:hAnsi="Arial"/>
          <w:color w:val="1E293B"/>
          <w:sz w:val="22"/>
          <w:szCs w:val="22"/>
        </w:rPr>
        <w:t xml:space="preserve">---</w:t>
      </w:r>
    </w:p>
    <w:p>
      <w:pPr>
        <w:pStyle w:val="Heading2"/>
        <w:spacing w:before="280" w:after="160"/>
      </w:pPr>
      <w:r>
        <w:rPr>
          <w:rFonts w:ascii="Arial" w:cs="Arial" w:eastAsia="Arial" w:hAnsi="Arial"/>
          <w:b/>
          <w:bCs/>
          <w:color w:val="2E75B6"/>
          <w:sz w:val="26"/>
          <w:szCs w:val="26"/>
        </w:rPr>
        <w:t xml:space="preserve">Risk Monitoring and Governance</w:t>
      </w:r>
    </w:p>
    <w:p>
      <w:pPr>
        <w:spacing w:after="120" w:line="276"/>
      </w:pPr>
      <w:r>
        <w:rPr>
          <w:rFonts w:ascii="Arial" w:cs="Arial" w:eastAsia="Arial" w:hAnsi="Arial"/>
          <w:b/>
          <w:bCs/>
          <w:color w:val="1E293B"/>
          <w:sz w:val="22"/>
          <w:szCs w:val="22"/>
        </w:rPr>
        <w:t xml:space="preserve">Risk Review Cadence:</w:t>
      </w:r>
    </w:p>
    <w:p>
      <w:pPr>
        <w:pStyle w:val="ListParagraph"/>
        <w:numPr>
          <w:ilvl w:val="0"/>
          <w:numId w:val="2"/>
        </w:numPr>
        <w:spacing w:after="60" w:line="276"/>
      </w:pPr>
      <w:r>
        <w:rPr>
          <w:rFonts w:ascii="Arial" w:cs="Arial" w:eastAsia="Arial" w:hAnsi="Arial"/>
          <w:color w:val="1E293B"/>
          <w:sz w:val="22"/>
          <w:szCs w:val="22"/>
        </w:rPr>
        <w:t xml:space="preserve">Critical Risks (Score 12+): Weekly reviews with steering committee</w:t>
      </w:r>
    </w:p>
    <w:p>
      <w:pPr>
        <w:pStyle w:val="ListParagraph"/>
        <w:numPr>
          <w:ilvl w:val="0"/>
          <w:numId w:val="2"/>
        </w:numPr>
        <w:spacing w:after="60" w:line="276"/>
      </w:pPr>
      <w:r>
        <w:rPr>
          <w:rFonts w:ascii="Arial" w:cs="Arial" w:eastAsia="Arial" w:hAnsi="Arial"/>
          <w:color w:val="1E293B"/>
          <w:sz w:val="22"/>
          <w:szCs w:val="22"/>
        </w:rPr>
        <w:t xml:space="preserve">High Risks (Score 9-11): Bi-weekly reviews with project leads</w:t>
      </w:r>
    </w:p>
    <w:p>
      <w:pPr>
        <w:pStyle w:val="ListParagraph"/>
        <w:numPr>
          <w:ilvl w:val="0"/>
          <w:numId w:val="2"/>
        </w:numPr>
        <w:spacing w:after="60" w:line="276"/>
      </w:pPr>
      <w:r>
        <w:rPr>
          <w:rFonts w:ascii="Arial" w:cs="Arial" w:eastAsia="Arial" w:hAnsi="Arial"/>
          <w:color w:val="1E293B"/>
          <w:sz w:val="22"/>
          <w:szCs w:val="22"/>
        </w:rPr>
        <w:t xml:space="preserve">Medium Risks (Score 5-8): Monthly reviews with PMO</w:t>
      </w:r>
    </w:p>
    <w:p>
      <w:pPr>
        <w:pStyle w:val="ListParagraph"/>
        <w:numPr>
          <w:ilvl w:val="0"/>
          <w:numId w:val="2"/>
        </w:numPr>
        <w:spacing w:after="60" w:line="276"/>
      </w:pPr>
      <w:r>
        <w:rPr>
          <w:rFonts w:ascii="Arial" w:cs="Arial" w:eastAsia="Arial" w:hAnsi="Arial"/>
          <w:color w:val="1E293B"/>
          <w:sz w:val="22"/>
          <w:szCs w:val="22"/>
        </w:rPr>
        <w:t xml:space="preserve">Low Risks (Score &lt;5): Quarterly reviews</w:t>
      </w:r>
    </w:p>
    <w:p>
      <w:pPr>
        <w:spacing w:after="120" w:line="276"/>
      </w:pPr>
      <w:r>
        <w:rPr>
          <w:rFonts w:ascii="Arial" w:cs="Arial" w:eastAsia="Arial" w:hAnsi="Arial"/>
          <w:b/>
          <w:bCs/>
          <w:color w:val="1E293B"/>
          <w:sz w:val="22"/>
          <w:szCs w:val="22"/>
        </w:rPr>
        <w:t xml:space="preserve">Risk Escalation Criteria:</w:t>
      </w:r>
    </w:p>
    <w:p>
      <w:pPr>
        <w:pStyle w:val="ListParagraph"/>
        <w:numPr>
          <w:ilvl w:val="0"/>
          <w:numId w:val="2"/>
        </w:numPr>
        <w:spacing w:after="60" w:line="276"/>
      </w:pPr>
      <w:r>
        <w:rPr>
          <w:rFonts w:ascii="Arial" w:cs="Arial" w:eastAsia="Arial" w:hAnsi="Arial"/>
          <w:color w:val="1E293B"/>
          <w:sz w:val="22"/>
          <w:szCs w:val="22"/>
        </w:rPr>
        <w:t xml:space="preserve">Probability or Impact increases by &gt;1 level</w:t>
      </w:r>
    </w:p>
    <w:p>
      <w:pPr>
        <w:pStyle w:val="ListParagraph"/>
        <w:numPr>
          <w:ilvl w:val="0"/>
          <w:numId w:val="2"/>
        </w:numPr>
        <w:spacing w:after="60" w:line="276"/>
      </w:pPr>
      <w:r>
        <w:rPr>
          <w:rFonts w:ascii="Arial" w:cs="Arial" w:eastAsia="Arial" w:hAnsi="Arial"/>
          <w:color w:val="1E293B"/>
          <w:sz w:val="22"/>
          <w:szCs w:val="22"/>
        </w:rPr>
        <w:t xml:space="preserve">Mitigation plan significantly delayed (&gt;2 weeks)</w:t>
      </w:r>
    </w:p>
    <w:p>
      <w:pPr>
        <w:pStyle w:val="ListParagraph"/>
        <w:numPr>
          <w:ilvl w:val="0"/>
          <w:numId w:val="2"/>
        </w:numPr>
        <w:spacing w:after="60" w:line="276"/>
      </w:pPr>
      <w:r>
        <w:rPr>
          <w:rFonts w:ascii="Arial" w:cs="Arial" w:eastAsia="Arial" w:hAnsi="Arial"/>
          <w:color w:val="1E293B"/>
          <w:sz w:val="22"/>
          <w:szCs w:val="22"/>
        </w:rPr>
        <w:t xml:space="preserve">New risk identified related to top 5</w:t>
      </w:r>
    </w:p>
    <w:p>
      <w:pPr>
        <w:pStyle w:val="ListParagraph"/>
        <w:numPr>
          <w:ilvl w:val="0"/>
          <w:numId w:val="2"/>
        </w:numPr>
        <w:spacing w:after="60" w:line="276"/>
      </w:pPr>
      <w:r>
        <w:rPr>
          <w:rFonts w:ascii="Arial" w:cs="Arial" w:eastAsia="Arial" w:hAnsi="Arial"/>
          <w:color w:val="1E293B"/>
          <w:sz w:val="22"/>
          <w:szCs w:val="22"/>
        </w:rPr>
        <w:t xml:space="preserve">Risk score increases &gt;2 points</w:t>
      </w:r>
    </w:p>
    <w:p>
      <w:pPr>
        <w:spacing w:after="120" w:line="276"/>
      </w:pPr>
      <w:r>
        <w:rPr>
          <w:rFonts w:ascii="Arial" w:cs="Arial" w:eastAsia="Arial" w:hAnsi="Arial"/>
          <w:b/>
          <w:bCs/>
          <w:color w:val="1E293B"/>
          <w:sz w:val="22"/>
          <w:szCs w:val="22"/>
        </w:rPr>
        <w:t xml:space="preserve">Mitigation Tracking:</w:t>
      </w:r>
    </w:p>
    <w:p>
      <w:pPr>
        <w:pStyle w:val="ListParagraph"/>
        <w:numPr>
          <w:ilvl w:val="0"/>
          <w:numId w:val="2"/>
        </w:numPr>
        <w:spacing w:after="60" w:line="276"/>
      </w:pPr>
      <w:r>
        <w:rPr>
          <w:rFonts w:ascii="Arial" w:cs="Arial" w:eastAsia="Arial" w:hAnsi="Arial"/>
          <w:color w:val="1E293B"/>
          <w:sz w:val="22"/>
          <w:szCs w:val="22"/>
        </w:rPr>
        <w:t xml:space="preserve">Monthly status updates on all risk mitigation plans</w:t>
      </w:r>
    </w:p>
    <w:p>
      <w:pPr>
        <w:pStyle w:val="ListParagraph"/>
        <w:numPr>
          <w:ilvl w:val="0"/>
          <w:numId w:val="2"/>
        </w:numPr>
        <w:spacing w:after="60" w:line="276"/>
      </w:pPr>
      <w:r>
        <w:rPr>
          <w:rFonts w:ascii="Arial" w:cs="Arial" w:eastAsia="Arial" w:hAnsi="Arial"/>
          <w:color w:val="1E293B"/>
          <w:sz w:val="22"/>
          <w:szCs w:val="22"/>
        </w:rPr>
        <w:t xml:space="preserve">Red/Amber/Green status against mitigation milestones</w:t>
      </w:r>
    </w:p>
    <w:p>
      <w:pPr>
        <w:pStyle w:val="ListParagraph"/>
        <w:numPr>
          <w:ilvl w:val="0"/>
          <w:numId w:val="2"/>
        </w:numPr>
        <w:spacing w:after="60" w:line="276"/>
      </w:pPr>
      <w:r>
        <w:rPr>
          <w:rFonts w:ascii="Arial" w:cs="Arial" w:eastAsia="Arial" w:hAnsi="Arial"/>
          <w:color w:val="1E293B"/>
          <w:sz w:val="22"/>
          <w:szCs w:val="22"/>
        </w:rPr>
        <w:t xml:space="preserve">Budget allocation for risk mitigation activities</w:t>
      </w:r>
    </w:p>
    <w:p>
      <w:pPr>
        <w:pStyle w:val="ListParagraph"/>
        <w:numPr>
          <w:ilvl w:val="0"/>
          <w:numId w:val="2"/>
        </w:numPr>
        <w:spacing w:after="60" w:line="276"/>
      </w:pPr>
      <w:r>
        <w:rPr>
          <w:rFonts w:ascii="Arial" w:cs="Arial" w:eastAsia="Arial" w:hAnsi="Arial"/>
          <w:color w:val="1E293B"/>
          <w:sz w:val="22"/>
          <w:szCs w:val="22"/>
        </w:rPr>
        <w:t xml:space="preserve">Steering committee sign-off on all critical mitigation decisions</w:t>
      </w:r>
    </w:p>
    <w:p>
      <w:pPr>
        <w:spacing w:after="120" w:line="276"/>
      </w:pPr>
      <w:r>
        <w:rPr>
          <w:rFonts w:ascii="Arial" w:cs="Arial" w:eastAsia="Arial" w:hAnsi="Arial"/>
          <w:color w:val="1E293B"/>
          <w:sz w:val="22"/>
          <w:szCs w:val="22"/>
        </w:rPr>
        <w:t xml:space="preserve">---</w:t>
      </w:r>
    </w:p>
    <w:p>
      <w:pPr>
        <w:spacing w:after="120" w:line="276"/>
      </w:pPr>
      <w:r>
        <w:rPr>
          <w:rFonts w:ascii="Arial" w:cs="Arial" w:eastAsia="Arial" w:hAnsi="Arial"/>
          <w:b/>
          <w:bCs/>
          <w:color w:val="1E293B"/>
          <w:sz w:val="22"/>
          <w:szCs w:val="22"/>
        </w:rPr>
        <w:t xml:space="preserve">Document Owner</w:t>
      </w:r>
      <w:r>
        <w:rPr>
          <w:rFonts w:ascii="Arial" w:cs="Arial" w:eastAsia="Arial" w:hAnsi="Arial"/>
          <w:color w:val="1E293B"/>
          <w:sz w:val="22"/>
          <w:szCs w:val="22"/>
        </w:rPr>
        <w:t xml:space="preserve">: Portfolio Risk Manager</w:t>
      </w:r>
    </w:p>
    <w:p>
      <w:pPr>
        <w:spacing w:after="120" w:line="276"/>
      </w:pPr>
      <w:r>
        <w:rPr>
          <w:rFonts w:ascii="Arial" w:cs="Arial" w:eastAsia="Arial" w:hAnsi="Arial"/>
          <w:b/>
          <w:bCs/>
          <w:color w:val="1E293B"/>
          <w:sz w:val="22"/>
          <w:szCs w:val="22"/>
        </w:rPr>
        <w:t xml:space="preserve">Last Review Date</w:t>
      </w:r>
      <w:r>
        <w:rPr>
          <w:rFonts w:ascii="Arial" w:cs="Arial" w:eastAsia="Arial" w:hAnsi="Arial"/>
          <w:color w:val="1E293B"/>
          <w:sz w:val="22"/>
          <w:szCs w:val="22"/>
        </w:rPr>
        <w:t xml:space="preserve">: 2026-03-21</w:t>
      </w:r>
    </w:p>
    <w:p>
      <w:pPr>
        <w:spacing w:after="120" w:line="276"/>
      </w:pPr>
      <w:r>
        <w:rPr>
          <w:rFonts w:ascii="Arial" w:cs="Arial" w:eastAsia="Arial" w:hAnsi="Arial"/>
          <w:b/>
          <w:bCs/>
          <w:color w:val="1E293B"/>
          <w:sz w:val="22"/>
          <w:szCs w:val="22"/>
        </w:rPr>
        <w:t xml:space="preserve">Next Review Date</w:t>
      </w:r>
      <w:r>
        <w:rPr>
          <w:rFonts w:ascii="Arial" w:cs="Arial" w:eastAsia="Arial" w:hAnsi="Arial"/>
          <w:color w:val="1E293B"/>
          <w:sz w:val="22"/>
          <w:szCs w:val="22"/>
        </w:rPr>
        <w:t xml:space="preserve">: 2026-03-28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CMI NaaP —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Portfolio Risk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2026-03-21T14:50:51.006Z</dcterms:created>
  <dcterms:modified xsi:type="dcterms:W3CDTF">2026-03-21T14:50:51.006Z</dcterms:modified>
</cp:coreProperties>
</file>

<file path=docProps/custom.xml><?xml version="1.0" encoding="utf-8"?>
<Properties xmlns="http://schemas.openxmlformats.org/officeDocument/2006/custom-properties" xmlns:vt="http://schemas.openxmlformats.org/officeDocument/2006/docPropsVTypes"/>
</file>