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pPr>
      <w:r>
        <w:rPr>
          <w:b/>
          <w:bCs/>
          <w:color w:val="1A7A4A"/>
          <w:spacing w:val="50"/>
          <w:sz w:val="17"/>
          <w:szCs w:val="17"/>
        </w:rPr>
        <w:t xml:space="preserve">ARAŞTIRMA MAKALESİ  ·  YANGIN GÜVENLİĞİ VE SÜRDÜRÜLEBİLİR MALZEME</w:t>
      </w:r>
    </w:p>
    <w:p>
      <w:pPr>
        <w:spacing w:after="160" w:line="300"/>
      </w:pPr>
      <w:r>
        <w:rPr>
          <w:b/>
          <w:bCs/>
          <w:color w:val="0F4A2E"/>
          <w:sz w:val="34"/>
          <w:szCs w:val="34"/>
        </w:rPr>
        <w:t xml:space="preserve">Yumurta Kabuğu Esaslı Biyo-Atık Kaynaklı Yeni Bir Yangın Söndürme Tozu (ExtinGard): Formülasyon, Üçlü Söndürme Mekanizması ve Deneysel Doğrulama</w:t>
      </w:r>
    </w:p>
    <w:p>
      <w:pPr>
        <w:pBdr>
          <w:bottom w:val="single" w:color="1A7A4A" w:sz="12" w:space="10"/>
        </w:pBdr>
        <w:spacing w:after="220" w:line="288"/>
      </w:pPr>
      <w:r>
        <w:rPr>
          <w:i/>
          <w:iCs/>
          <w:color w:val="1A7A4A"/>
          <w:sz w:val="22"/>
          <w:szCs w:val="22"/>
        </w:rPr>
        <w:t xml:space="preserve">A Novel Eggshell-Derived Bio-Waste Fire Extinguishing Powder (ExtinGard): Formulation, Triple Suppression Mechanism and Experimental Validation</w:t>
      </w:r>
    </w:p>
    <w:p>
      <w:pPr>
        <w:spacing w:after="60" w:before="240"/>
      </w:pPr>
      <w:r>
        <w:rPr>
          <w:b/>
          <w:bCs/>
          <w:color w:val="333A3F"/>
          <w:sz w:val="21"/>
          <w:szCs w:val="21"/>
        </w:rPr>
        <w:t xml:space="preserve">Alp Kayra ERGUVAN¹  ·  Ceyda Nur SÖYLEMEZ¹  ·  Havva Yaren AYDIN¹  ·  Gülçin SEZEN²</w:t>
      </w:r>
    </w:p>
    <w:p>
      <w:pPr>
        <w:spacing w:after="50" w:line="264"/>
      </w:pPr>
      <w:r>
        <w:rPr>
          <w:color w:val="6B7280"/>
          <w:sz w:val="18"/>
          <w:szCs w:val="18"/>
        </w:rPr>
        <w:t xml:space="preserve">¹ Ateş Kes Takımı, BTSO Kamil Tolon Bilim ve Sanat Merkezi, Bursa, Türkiye</w:t>
      </w:r>
    </w:p>
    <w:p>
      <w:pPr>
        <w:spacing w:after="50" w:line="264"/>
      </w:pPr>
      <w:r>
        <w:rPr>
          <w:color w:val="6B7280"/>
          <w:sz w:val="18"/>
          <w:szCs w:val="18"/>
        </w:rPr>
        <w:t xml:space="preserve">² Proje Danışmanı, BTSO Kamil Tolon Bilim ve Sanat Merkezi, Bursa, Türkiye</w:t>
      </w:r>
    </w:p>
    <w:p>
      <w:pPr>
        <w:spacing w:after="50" w:line="264"/>
      </w:pPr>
      <w:r>
        <w:rPr>
          <w:color w:val="6B7280"/>
          <w:sz w:val="18"/>
          <w:szCs w:val="18"/>
        </w:rPr>
        <w:t xml:space="preserve">Sorumlu yazar: extingard@gmail.com  ·  Gönderim: Eylül 2026  ·  Sürüm 1.0</w:t>
      </w:r>
    </w:p>
    <w:p>
      <w:pPr>
        <w:spacing w:after="240"/>
      </w:pPr>
    </w:p>
    <w:tbl>
      <w:tblPr>
        <w:tblW w:type="dxa" w:w="9020"/>
        <w:tblBorders>
          <w:top w:val="single" w:color="D3DAD6" w:sz="2"/>
          <w:left w:val="single" w:color="D3DAD6" w:sz="2"/>
          <w:bottom w:val="single" w:color="D3DAD6" w:sz="2"/>
          <w:right w:val="single" w:color="D3DAD6" w:sz="2"/>
          <w:insideH w:val="none"/>
          <w:insideV w:val="none"/>
        </w:tblBorders>
      </w:tblPr>
      <w:tblGrid>
        <w:gridCol w:w="9020"/>
      </w:tblGrid>
      <w:tr>
        <w:tc>
          <w:tcPr>
            <w:tcW w:type="dxa" w:w="9020"/>
            <w:shd w:fill="F4F8F5" w:color="auto" w:val="clear"/>
            <w:tcMar>
              <w:top w:type="dxa" w:w="150"/>
              <w:left w:type="dxa" w:w="170"/>
              <w:bottom w:type="dxa" w:w="150"/>
              <w:right w:type="dxa" w:w="160"/>
            </w:tcMar>
          </w:tcPr>
          <w:p>
            <w:pPr>
              <w:spacing w:after="90"/>
            </w:pPr>
            <w:r>
              <w:rPr>
                <w:b/>
                <w:bCs/>
                <w:color w:val="0F4A2E"/>
                <w:sz w:val="20"/>
                <w:szCs w:val="20"/>
              </w:rPr>
              <w:t xml:space="preserve">Öz</w:t>
            </w:r>
          </w:p>
          <w:p>
            <w:pPr>
              <w:spacing w:after="120" w:line="276"/>
              <w:jc w:val="both"/>
            </w:pPr>
            <w:r>
              <w:rPr>
                <w:color w:val="333A3F"/>
                <w:sz w:val="19"/>
                <w:szCs w:val="19"/>
              </w:rPr>
              <w:t xml:space="preserve">ExtinGard, geri dönüştürülmüş yumurta kabuğu ve doğal minerallerden oluşan, piyasadaki kuru kimyevi tozlara alternatif olarak geliştirilmiş bir yangın söndürme tozudur. Bu çalışmada tozun formülasyonu, söndürme mekanizması, üretim protokolü ve deneysel doğrulaması sunulmaktadır. Kütlece %50 yumurta kabuğu (CaCO₃ kaynağı), %20 magnezyum hidroksit, %10 kalsiyum hidroksit, %10 alüminyum hidroksit, %8 kaolin ve %2 magnezyum stearattan oluşan bileşim, yanma üçgeninin üç köşesine eş zamanlı müdahale edecek biçimde tasarlanmıştır: Mg(OH)₂ ve Ca(OH)₂'nin sırasıyla yaklaşık 350 °C ve 512 °C'de gerçekleşen endotermik bozunması ortamdan ısı çekerek sıcaklığı düşürür ve su buharı açığa çıkarır; CaCO₃'ün yaklaşık 840 °C'de bozunmasıyla salınan CO₂ alev çevresindeki oksijeni seyreltir; Al(OH)₃ ve kaolin ise yanan yüzeyde ısıya dayanıklı bir mineral örtü tabakası oluşturur. Toz, A, B, C ve F yangın sınıflarını temsil eden yedi farklı yanıcı malzeme üzerinde kontrollü koşullarda denenmiş ve tamamında 3–8 saniye aralığında tam söndürme gözlemlenmiştir. Saha denemeleri Bursa İtfaiye Arama Kurtarma ve Müdahale Birimleri ile ortaklaşa yürütülmüştür. Laboratuvar ölçeğinde hesaplanan birim maliyet 0,0497 TL/g olup, piyasadaki ABC tozuna kıyasla 5–6 kat, BC tozuna kıyasla yaklaşık 3 kat daha düşüktür. Bileşim ve üretim yöntemi Türk Patent ve Marka Kurumu nezdinde koruma altına alınmıştır. Çalışmanın başlıca sınırlılığı, söndürme performansının TS EN 615 benzeri akredite bir standart altında henüz ölçülmemiş olmasıdır; bulgular bu nedenle ön doğrulama niteliğindedir.</w:t>
            </w:r>
          </w:p>
          <w:p>
            <w:pPr>
              <w:spacing w:after="0"/>
            </w:pPr>
            <w:r>
              <w:rPr>
                <w:b/>
                <w:bCs/>
                <w:color w:val="0F4A2E"/>
                <w:sz w:val="18"/>
                <w:szCs w:val="18"/>
              </w:rPr>
              <w:t xml:space="preserve">Anahtar Kelimeler: </w:t>
            </w:r>
            <w:r>
              <w:rPr>
                <w:i/>
                <w:iCs/>
                <w:color w:val="333A3F"/>
                <w:sz w:val="18"/>
                <w:szCs w:val="18"/>
              </w:rPr>
              <w:t xml:space="preserve">yangın söndürme tozu; yumurta kabuğu; kalsiyum karbonat; endotermik bozunma; biyo-atık değerlendirme; PFAS'sız söndürücü; sürdürülebilir yangın güvenliği</w:t>
            </w:r>
          </w:p>
        </w:tc>
      </w:tr>
    </w:tbl>
    <w:p>
      <w:pPr>
        <w:spacing w:after="200"/>
      </w:pPr>
    </w:p>
    <w:tbl>
      <w:tblPr>
        <w:tblW w:type="dxa" w:w="9020"/>
        <w:tblBorders>
          <w:top w:val="single" w:color="D3DAD6" w:sz="2"/>
          <w:left w:val="single" w:color="D3DAD6" w:sz="2"/>
          <w:bottom w:val="single" w:color="D3DAD6" w:sz="2"/>
          <w:right w:val="single" w:color="D3DAD6" w:sz="2"/>
          <w:insideH w:val="none"/>
          <w:insideV w:val="none"/>
        </w:tblBorders>
      </w:tblPr>
      <w:tblGrid>
        <w:gridCol w:w="9020"/>
      </w:tblGrid>
      <w:tr>
        <w:tc>
          <w:tcPr>
            <w:tcW w:type="dxa" w:w="9020"/>
            <w:shd w:fill="F4F8F5" w:color="auto" w:val="clear"/>
            <w:tcMar>
              <w:top w:type="dxa" w:w="150"/>
              <w:left w:type="dxa" w:w="170"/>
              <w:bottom w:type="dxa" w:w="150"/>
              <w:right w:type="dxa" w:w="160"/>
            </w:tcMar>
          </w:tcPr>
          <w:p>
            <w:pPr>
              <w:spacing w:after="90"/>
            </w:pPr>
            <w:r>
              <w:rPr>
                <w:b/>
                <w:bCs/>
                <w:color w:val="0F4A2E"/>
                <w:sz w:val="20"/>
                <w:szCs w:val="20"/>
              </w:rPr>
              <w:t xml:space="preserve">Abstract</w:t>
            </w:r>
          </w:p>
          <w:p>
            <w:pPr>
              <w:spacing w:after="120" w:line="276"/>
              <w:jc w:val="both"/>
            </w:pPr>
            <w:r>
              <w:rPr>
                <w:color w:val="333A3F"/>
                <w:sz w:val="19"/>
                <w:szCs w:val="19"/>
              </w:rPr>
              <w:t xml:space="preserve">ExtinGard is a fire extinguishing powder developed from recycled eggshell and natural minerals as an alternative to the dry chemical powders currently on the market. This study presents its formulation, suppression mechanism, production protocol and experimental validation. The composition — 50% eggshell (a CaCO₃ source), 20% magnesium hydroxide, 10% calcium hydroxide, 10% aluminium hydroxide, 8% kaolin and 2% magnesium stearate by mass — is designed to act on all three corners of the fire triangle simultaneously: the endothermic decomposition of Mg(OH)₂ and Ca(OH)₂ at approximately 350 °C and 512 °C draws heat from the environment and releases water vapour; the CO₂ released by the decomposition of CaCO₃ at approximately 840 °C dilutes oxygen around the flame; and Al(OH)₃ together with kaolin forms a heat-resistant mineral blanket on the burning surface. The powder was tested under controlled conditions on seven different combustible materials representing fire classes A, B, C and F, achieving complete extinction in 3–8 seconds in every case. Field trials were conducted jointly with the Bursa Fire Department Search, Rescue and Response Units. The unit cost calculated at laboratory scale is 0.0497 TL/g, which is 5–6 times lower than ABC powder and approximately 3 times lower than BC powder. The composition and production method are protected before the Turkish Patent and Trademark Office. The principal limitation of the study is that suppression performance has not yet been measured under an accredited standard such as TS EN 615; the findings are therefore preliminary.</w:t>
            </w:r>
          </w:p>
          <w:p>
            <w:pPr>
              <w:spacing w:after="0"/>
            </w:pPr>
            <w:r>
              <w:rPr>
                <w:b/>
                <w:bCs/>
                <w:color w:val="0F4A2E"/>
                <w:sz w:val="18"/>
                <w:szCs w:val="18"/>
              </w:rPr>
              <w:t xml:space="preserve">Keywords: </w:t>
            </w:r>
            <w:r>
              <w:rPr>
                <w:i/>
                <w:iCs/>
                <w:color w:val="333A3F"/>
                <w:sz w:val="18"/>
                <w:szCs w:val="18"/>
              </w:rPr>
              <w:t xml:space="preserve">fire extinguishing powder; eggshell; calcium carbonate; endothermic decomposition; bio-waste valorisation; PFAS-free extinguishant; sustainable fire safety</w:t>
            </w:r>
          </w:p>
        </w:tc>
      </w:tr>
    </w:tbl>
    <w:p>
      <w:pPr>
        <w:spacing w:after="200"/>
      </w:pPr>
    </w:p>
    <w:p>
      <w:pPr>
        <w:pStyle w:val="Heading1"/>
        <w:keepNext/>
        <w:spacing w:after="160" w:before="400"/>
      </w:pPr>
      <w:r>
        <w:rPr>
          <w:b/>
          <w:bCs/>
          <w:color w:val="0F4A2E"/>
          <w:sz w:val="25"/>
          <w:szCs w:val="25"/>
        </w:rPr>
        <w:t xml:space="preserve">1. Giriş</w:t>
      </w:r>
    </w:p>
    <w:p>
      <w:pPr>
        <w:spacing w:after="130" w:line="300"/>
        <w:jc w:val="both"/>
      </w:pPr>
      <w:r>
        <w:rPr>
          <w:color w:val="1A1F24"/>
          <w:sz w:val="21"/>
          <w:szCs w:val="21"/>
        </w:rPr>
        <w:t xml:space="preserve">İklim krizi, orman ve yapı yangınlarının hem sıklığını hem de şiddetini artırmaktadır. Hükümetlerarası İklim Değişikliği Paneli'nin 2023 tarihli sentez raporu, küresel yangın sıklığında yaklaşık %30'luk bir artışa işaret etmektedir (IPCC, 2023). Yangın afetlerinin yıllık küresel ekonomik yükü sektör verilerine göre 328 milyar ABD doları mertebesindedir; Türkiye'de ise her yıl ortalama 80.000 hektar orman alanı yanmaktadır (Orman Genel Müdürlüğü, 2023). Bu tablo yalnızca ekonomik bir kayıp değil, aynı zamanda can kaybı ve geri dönüşü olmayan ekosistem tahribatı anlamına gelmektedir.</w:t>
      </w:r>
    </w:p>
    <w:p>
      <w:pPr>
        <w:spacing w:after="130" w:line="300"/>
        <w:ind w:firstLine="340"/>
        <w:jc w:val="both"/>
      </w:pPr>
      <w:r>
        <w:rPr>
          <w:color w:val="1A1F24"/>
          <w:sz w:val="21"/>
          <w:szCs w:val="21"/>
        </w:rPr>
        <w:t xml:space="preserve">Sorunun daha az tartışılan ikinci katmanı, yangına müdahalede kullanılan araçların kendisidir. Taşınabilir yangın söndürücülerde yaygın olarak kullanılan kuru kimyevi tozların büyük bölümü monoamonyum fosfat (ABC tozu) veya sodyum bikarbonat (BC tozu) esaslıdır. Bu bileşikler alevi etkili biçimde bastırmakla birlikte, söndürme sonrasında metal yüzeylerde korozyona yol açabilmekte, toprak yapısını bozabilmekte ve su kaynaklarına karışabilmektedir (Kırtaş ve Altundağ, 2023). Karbondioksitli söndürücüler kapalı hacimlerde ortam oksijen derişimini tehlikeli düzeylere indirebilmekte; halojenli söndürücüler ise ozon tabakasına verdikleri zarar nedeniyle Montreal Protokolü kapsamında kısıtlanmıştır (EPA, 2019). Söndürücü kimyasalların insan sağlığı üzerindeki etkilerini derleyen çalışmalar, solunum yolu ve cilt tahrişini tekrar eden bulgular olarak raporlamaktadır (Lee vd., 2021).</w:t>
      </w:r>
    </w:p>
    <w:p>
      <w:pPr>
        <w:spacing w:after="130" w:line="300"/>
        <w:ind w:firstLine="340"/>
        <w:jc w:val="both"/>
      </w:pPr>
      <w:r>
        <w:rPr>
          <w:color w:val="1A1F24"/>
          <w:sz w:val="21"/>
          <w:szCs w:val="21"/>
        </w:rPr>
        <w:t xml:space="preserve">Bu ikinci katman, son yıllarda düzenleyici bir baskıya da dönüşmüştür. Avrupa Birliği'nin per- ve polifloroalkil maddelere (PFAS) yönelik kısıtlama çalışmaları, özellikle köpük esaslı söndürücülerde formülasyon değişikliğini zorunlu kılmakta; bu da çevresel yükü düşük, kalıntı bırakmayan alternatiflere yönelik talebi artırmaktadır. Dolayısıyla "yangını söndüren ürünün kendisinin ikincil bir çevre ve sağlık sorunu yaratmaması" artık yalnızca etik değil, aynı zamanda ticari ve hukuki bir gerekliliktir.</w:t>
      </w:r>
    </w:p>
    <w:p>
      <w:pPr>
        <w:spacing w:after="130" w:line="300"/>
        <w:ind w:firstLine="340"/>
        <w:jc w:val="both"/>
      </w:pPr>
      <w:r>
        <w:rPr>
          <w:color w:val="1A1F24"/>
          <w:sz w:val="21"/>
          <w:szCs w:val="21"/>
        </w:rPr>
        <w:t xml:space="preserve">Bu çalışmanın amacı, gıda endüstrisinin yaygın bir biyo-atığı olan yumurta kabuğunu temel bileşen olarak kullanan, tamamen doğal içerikli ve biyobozunur bir yangın söndürme tozu geliştirmek ve bu tozun söndürme performansını deneysel olarak doğrulamaktır. Çalışmanın özgün katkısı üç başlıkta toplanabilir: </w:t>
      </w:r>
      <w:r>
        <w:rPr>
          <w:b/>
          <w:bCs/>
          <w:color w:val="1A1F24"/>
          <w:sz w:val="21"/>
          <w:szCs w:val="21"/>
        </w:rPr>
        <w:t xml:space="preserve">(i)</w:t>
      </w:r>
      <w:r>
        <w:rPr>
          <w:color w:val="1A1F24"/>
          <w:sz w:val="21"/>
          <w:szCs w:val="21"/>
        </w:rPr>
        <w:t xml:space="preserve"> kütlece yarısı geri dönüştürülmüş yumurta kabuğundan oluşan bir bileşimin tanımlanması, </w:t>
      </w:r>
      <w:r>
        <w:rPr>
          <w:b/>
          <w:bCs/>
          <w:color w:val="1A1F24"/>
          <w:sz w:val="21"/>
          <w:szCs w:val="21"/>
        </w:rPr>
        <w:t xml:space="preserve">(ii)</w:t>
      </w:r>
      <w:r>
        <w:rPr>
          <w:color w:val="1A1F24"/>
          <w:sz w:val="21"/>
          <w:szCs w:val="21"/>
        </w:rPr>
        <w:t xml:space="preserve"> bileşenlerin farklı sıcaklıklarda devreye girmesine dayanan kademeli ve üçlü bir söndürme mekanizmasının ortaya konması ve </w:t>
      </w:r>
      <w:r>
        <w:rPr>
          <w:b/>
          <w:bCs/>
          <w:color w:val="1A1F24"/>
          <w:sz w:val="21"/>
          <w:szCs w:val="21"/>
        </w:rPr>
        <w:t xml:space="preserve">(iii)</w:t>
      </w:r>
      <w:r>
        <w:rPr>
          <w:color w:val="1A1F24"/>
          <w:sz w:val="21"/>
          <w:szCs w:val="21"/>
        </w:rPr>
        <w:t xml:space="preserve"> A, B, C ve F sınıflarını temsil eden yedi yanıcı malzeme üzerinde yürütülen kontrollü deneylerle ön doğrulamanın sağlanmasıdır.</w:t>
      </w:r>
    </w:p>
    <w:p>
      <w:pPr>
        <w:spacing w:after="130" w:line="300"/>
        <w:ind w:firstLine="340"/>
        <w:jc w:val="both"/>
      </w:pPr>
      <w:r>
        <w:rPr>
          <w:color w:val="1A1F24"/>
          <w:sz w:val="21"/>
          <w:szCs w:val="21"/>
        </w:rPr>
        <w:t xml:space="preserve">Makalenin kalan bölümü şöyle düzenlenmiştir: İkinci bölümde yanma ve söndürme mekanizmalarına ilişkin kuramsal çerçeve ile mevcut ürünlerin sınırlılıkları ele alınmakta; üçüncü bölümde formülasyon, üretim protokolü ve deney yöntemi açıklanmakta; dördüncü bölümde bulgular sunulmakta; beşinci bölümde bulgular tartışılmakta ve çalışmanın sınırlılıkları ayrıntılı biçimde ortaya konmakta; altıncı bölümde fikri mülkiyet durumu özetlenmekte; yedinci bölümde ise sonuç ve öneriler yer almaktadır.</w:t>
      </w:r>
    </w:p>
    <w:p>
      <w:pPr>
        <w:pStyle w:val="Heading1"/>
        <w:keepNext/>
        <w:spacing w:after="160" w:before="400"/>
      </w:pPr>
      <w:r>
        <w:rPr>
          <w:b/>
          <w:bCs/>
          <w:color w:val="0F4A2E"/>
          <w:sz w:val="25"/>
          <w:szCs w:val="25"/>
        </w:rPr>
        <w:t xml:space="preserve">2. Kuramsal Çerçeve</w:t>
      </w:r>
    </w:p>
    <w:p>
      <w:pPr>
        <w:pStyle w:val="Heading2"/>
        <w:keepNext/>
        <w:spacing w:after="120" w:before="300"/>
      </w:pPr>
      <w:r>
        <w:rPr>
          <w:b/>
          <w:bCs/>
          <w:color w:val="1A7A4A"/>
          <w:sz w:val="22"/>
          <w:szCs w:val="22"/>
        </w:rPr>
        <w:t xml:space="preserve">2.1 Yanma üçgeni ve söndürme mekanizmaları</w:t>
      </w:r>
    </w:p>
    <w:p>
      <w:pPr>
        <w:spacing w:after="130" w:line="300"/>
        <w:jc w:val="both"/>
      </w:pPr>
      <w:r>
        <w:rPr>
          <w:color w:val="1A1F24"/>
          <w:sz w:val="21"/>
          <w:szCs w:val="21"/>
        </w:rPr>
        <w:t xml:space="preserve">Yanmanın sürebilmesi için üç unsurun aynı anda bulunması gerekir: yakıt, oksijen ve tutuşma sıcaklığını sürdürecek ısı. Bu üçlü, yangın güvenliği yazınında "yanma üçgeni" olarak adlandırılır. Söndürme, üçgenin en az bir köşesini ortadan kaldırmaya dayanır ve başlıca dört mekanizma üzerinden gerçekleşir:</w:t>
      </w:r>
    </w:p>
    <w:p>
      <w:pPr>
        <w:pStyle w:val="ListParagraph"/>
        <w:numPr>
          <w:ilvl w:val="0"/>
          <w:numId w:val="2"/>
        </w:numPr>
        <w:spacing w:after="70" w:line="288"/>
      </w:pPr>
      <w:r>
        <w:rPr>
          <w:b/>
          <w:bCs/>
          <w:color w:val="1A1F24"/>
          <w:sz w:val="21"/>
          <w:szCs w:val="21"/>
        </w:rPr>
        <w:t xml:space="preserve">Soğutma</w:t>
      </w:r>
      <w:r>
        <w:rPr>
          <w:color w:val="1A1F24"/>
          <w:sz w:val="21"/>
          <w:szCs w:val="21"/>
        </w:rPr>
        <w:t xml:space="preserve"> — ortamdan ısı çekilerek sıcaklığın tutuşma noktasının altına indirilmesi. Su ve endotermik bozunan mineraller bu mekanizmayla çalışır.</w:t>
      </w:r>
    </w:p>
    <w:p>
      <w:pPr>
        <w:pStyle w:val="ListParagraph"/>
        <w:numPr>
          <w:ilvl w:val="0"/>
          <w:numId w:val="2"/>
        </w:numPr>
        <w:spacing w:after="70" w:line="288"/>
      </w:pPr>
      <w:r>
        <w:rPr>
          <w:b/>
          <w:bCs/>
          <w:color w:val="1A1F24"/>
          <w:sz w:val="21"/>
          <w:szCs w:val="21"/>
        </w:rPr>
        <w:t xml:space="preserve">Boğma (oksijen seyreltme)</w:t>
      </w:r>
      <w:r>
        <w:rPr>
          <w:color w:val="1A1F24"/>
          <w:sz w:val="21"/>
          <w:szCs w:val="21"/>
        </w:rPr>
        <w:t xml:space="preserve"> — alev çevresindeki oksijen derişiminin düşürülmesi. CO₂ ve inert gaz esaslı sistemlerin temel çalışma ilkesidir.</w:t>
      </w:r>
    </w:p>
    <w:p>
      <w:pPr>
        <w:pStyle w:val="ListParagraph"/>
        <w:numPr>
          <w:ilvl w:val="0"/>
          <w:numId w:val="2"/>
        </w:numPr>
        <w:spacing w:after="70" w:line="288"/>
      </w:pPr>
      <w:r>
        <w:rPr>
          <w:b/>
          <w:bCs/>
          <w:color w:val="1A1F24"/>
          <w:sz w:val="21"/>
          <w:szCs w:val="21"/>
        </w:rPr>
        <w:t xml:space="preserve">Yakıtın ayrılması veya örtülmesi</w:t>
      </w:r>
      <w:r>
        <w:rPr>
          <w:color w:val="1A1F24"/>
          <w:sz w:val="21"/>
          <w:szCs w:val="21"/>
        </w:rPr>
        <w:t xml:space="preserve"> — yanan yüzey ile oksijen arasına fiziksel bir bariyer konması. Köpük ve erimiş tabaka oluşturan tozlar bu şekilde davranır.</w:t>
      </w:r>
    </w:p>
    <w:p>
      <w:pPr>
        <w:pStyle w:val="ListParagraph"/>
        <w:numPr>
          <w:ilvl w:val="0"/>
          <w:numId w:val="2"/>
        </w:numPr>
        <w:spacing w:after="70" w:line="288"/>
      </w:pPr>
      <w:r>
        <w:rPr>
          <w:b/>
          <w:bCs/>
          <w:color w:val="1A1F24"/>
          <w:sz w:val="21"/>
          <w:szCs w:val="21"/>
        </w:rPr>
        <w:t xml:space="preserve">Zincir reaksiyonun kesilmesi</w:t>
      </w:r>
      <w:r>
        <w:rPr>
          <w:color w:val="1A1F24"/>
          <w:sz w:val="21"/>
          <w:szCs w:val="21"/>
        </w:rPr>
        <w:t xml:space="preserve"> — alevdeki serbest radikallerin kimyasal olarak yakalanması. Halojenli bileşiklerin baskın mekanizmasıdır.</w:t>
      </w:r>
    </w:p>
    <w:p>
      <w:pPr>
        <w:spacing w:after="80"/>
      </w:pPr>
    </w:p>
    <w:p>
      <w:pPr>
        <w:spacing w:after="130" w:line="300"/>
        <w:ind w:firstLine="340"/>
        <w:jc w:val="both"/>
      </w:pPr>
      <w:r>
        <w:rPr>
          <w:color w:val="1A1F24"/>
          <w:sz w:val="21"/>
          <w:szCs w:val="21"/>
        </w:rPr>
        <w:t xml:space="preserve">Piyasadaki kuru kimyevi tozların çoğu bu mekanizmalardan yalnızca birini veya ikisini kullanır. Bu çalışmada tanımlanan bileşim ise soğutma, oksijen seyreltme ve örtü oluşturma mekanizmalarını tek bir toz içinde birleştirmeyi amaçlamaktadır.</w:t>
      </w:r>
    </w:p>
    <w:p>
      <w:pPr>
        <w:pStyle w:val="Heading2"/>
        <w:keepNext/>
        <w:spacing w:after="120" w:before="300"/>
      </w:pPr>
      <w:r>
        <w:rPr>
          <w:b/>
          <w:bCs/>
          <w:color w:val="1A7A4A"/>
          <w:sz w:val="22"/>
          <w:szCs w:val="22"/>
        </w:rPr>
        <w:t xml:space="preserve">2.2 Mevcut kuru kimyevi tozlar ve sınırlılıkları</w:t>
      </w:r>
    </w:p>
    <w:p>
      <w:pPr>
        <w:keepNext/>
        <w:spacing w:after="90" w:before="200"/>
      </w:pPr>
      <w:r>
        <w:rPr>
          <w:b/>
          <w:bCs/>
          <w:color w:val="0F4A2E"/>
          <w:sz w:val="18"/>
          <w:szCs w:val="18"/>
        </w:rPr>
        <w:t xml:space="preserve">Tablo 1. Yaygın söndürücü türleri ve başlıca sınırlılıkları</w:t>
      </w:r>
    </w:p>
    <w:tbl>
      <w:tblPr>
        <w:tblW w:type="dxa" w:w="9020"/>
        <w:tblBorders>
          <w:top w:val="single" w:color="D3DAD6" w:sz="4"/>
          <w:left w:val="single" w:color="D3DAD6" w:sz="4"/>
          <w:bottom w:val="single" w:color="D3DAD6" w:sz="4"/>
          <w:right w:val="single" w:color="D3DAD6" w:sz="4"/>
          <w:insideH w:val="single" w:color="D3DAD6" w:sz="2"/>
          <w:insideV w:val="single" w:color="D3DAD6" w:sz="2"/>
        </w:tblBorders>
      </w:tblPr>
      <w:tblGrid>
        <w:gridCol w:w="1984"/>
        <w:gridCol w:w="1804"/>
        <w:gridCol w:w="2526"/>
        <w:gridCol w:w="2706"/>
      </w:tblGrid>
      <w:tr>
        <w:trPr>
          <w:tblHeader/>
        </w:trPr>
        <w:tc>
          <w:tcPr>
            <w:tcW w:type="dxa" w:w="1984"/>
            <w:shd w:fill="0F4A2E" w:color="auto" w:val="clear"/>
            <w:tcMar>
              <w:top w:type="dxa" w:w="80"/>
              <w:left w:type="dxa" w:w="110"/>
              <w:bottom w:type="dxa" w:w="80"/>
              <w:right w:type="dxa" w:w="110"/>
            </w:tcMar>
            <w:vAlign w:val="center"/>
          </w:tcPr>
          <w:p>
            <w:pPr>
              <w:spacing w:after="50" w:before="50"/>
              <w:jc w:val="left"/>
            </w:pPr>
            <w:r>
              <w:rPr>
                <w:b/>
                <w:bCs/>
                <w:color w:val="FFFFFF"/>
                <w:sz w:val="18"/>
                <w:szCs w:val="18"/>
              </w:rPr>
              <w:t xml:space="preserve">Söndürücü</w:t>
            </w:r>
          </w:p>
        </w:tc>
        <w:tc>
          <w:tcPr>
            <w:tcW w:type="dxa" w:w="1804"/>
            <w:shd w:fill="0F4A2E" w:color="auto" w:val="clear"/>
            <w:tcMar>
              <w:top w:type="dxa" w:w="80"/>
              <w:left w:type="dxa" w:w="110"/>
              <w:bottom w:type="dxa" w:w="80"/>
              <w:right w:type="dxa" w:w="110"/>
            </w:tcMar>
            <w:vAlign w:val="center"/>
          </w:tcPr>
          <w:p>
            <w:pPr>
              <w:spacing w:after="50" w:before="50"/>
              <w:jc w:val="left"/>
            </w:pPr>
            <w:r>
              <w:rPr>
                <w:b/>
                <w:bCs/>
                <w:color w:val="FFFFFF"/>
                <w:sz w:val="18"/>
                <w:szCs w:val="18"/>
              </w:rPr>
              <w:t xml:space="preserve">Etkin sınıflar</w:t>
            </w:r>
          </w:p>
        </w:tc>
        <w:tc>
          <w:tcPr>
            <w:tcW w:type="dxa" w:w="2526"/>
            <w:shd w:fill="0F4A2E" w:color="auto" w:val="clear"/>
            <w:tcMar>
              <w:top w:type="dxa" w:w="80"/>
              <w:left w:type="dxa" w:w="110"/>
              <w:bottom w:type="dxa" w:w="80"/>
              <w:right w:type="dxa" w:w="110"/>
            </w:tcMar>
            <w:vAlign w:val="center"/>
          </w:tcPr>
          <w:p>
            <w:pPr>
              <w:spacing w:after="50" w:before="50"/>
              <w:jc w:val="left"/>
            </w:pPr>
            <w:r>
              <w:rPr>
                <w:b/>
                <w:bCs/>
                <w:color w:val="FFFFFF"/>
                <w:sz w:val="18"/>
                <w:szCs w:val="18"/>
              </w:rPr>
              <w:t xml:space="preserve">Baskın mekanizma</w:t>
            </w:r>
          </w:p>
        </w:tc>
        <w:tc>
          <w:tcPr>
            <w:tcW w:type="dxa" w:w="2706"/>
            <w:shd w:fill="0F4A2E" w:color="auto" w:val="clear"/>
            <w:tcMar>
              <w:top w:type="dxa" w:w="80"/>
              <w:left w:type="dxa" w:w="110"/>
              <w:bottom w:type="dxa" w:w="80"/>
              <w:right w:type="dxa" w:w="110"/>
            </w:tcMar>
            <w:vAlign w:val="center"/>
          </w:tcPr>
          <w:p>
            <w:pPr>
              <w:spacing w:after="50" w:before="50"/>
              <w:jc w:val="left"/>
            </w:pPr>
            <w:r>
              <w:rPr>
                <w:b/>
                <w:bCs/>
                <w:color w:val="FFFFFF"/>
                <w:sz w:val="18"/>
                <w:szCs w:val="18"/>
              </w:rPr>
              <w:t xml:space="preserve">Başlıca sınırlılık</w:t>
            </w:r>
          </w:p>
        </w:tc>
      </w:tr>
      <w:tr>
        <w:tc>
          <w:tcPr>
            <w:tcW w:type="dxa" w:w="1984"/>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ABC tozu (monoamonyum fosfat)</w:t>
            </w:r>
          </w:p>
        </w:tc>
        <w:tc>
          <w:tcPr>
            <w:tcW w:type="dxa" w:w="1804"/>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A, B, C</w:t>
            </w:r>
          </w:p>
        </w:tc>
        <w:tc>
          <w:tcPr>
            <w:tcW w:type="dxa" w:w="2526"/>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Örtü oluşturma + zincir kesme</w:t>
            </w:r>
          </w:p>
        </w:tc>
        <w:tc>
          <w:tcPr>
            <w:tcW w:type="dxa" w:w="2706"/>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Metal yüzeylerde korozyon; toprak ve su kirliliği; F sınıfında etkisiz</w:t>
            </w:r>
          </w:p>
        </w:tc>
      </w:tr>
      <w:tr>
        <w:tc>
          <w:tcPr>
            <w:tcW w:type="dxa" w:w="1984"/>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BC tozu (sodyum bikarbonat)</w:t>
            </w:r>
          </w:p>
        </w:tc>
        <w:tc>
          <w:tcPr>
            <w:tcW w:type="dxa" w:w="1804"/>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B, C</w:t>
            </w:r>
          </w:p>
        </w:tc>
        <w:tc>
          <w:tcPr>
            <w:tcW w:type="dxa" w:w="2526"/>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Zincir kesme + kısmi soğutma</w:t>
            </w:r>
          </w:p>
        </w:tc>
        <w:tc>
          <w:tcPr>
            <w:tcW w:type="dxa" w:w="2706"/>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A sınıfında etkisiz; zararlı kalıntı</w:t>
            </w:r>
          </w:p>
        </w:tc>
      </w:tr>
      <w:tr>
        <w:tc>
          <w:tcPr>
            <w:tcW w:type="dxa" w:w="1984"/>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Karbondioksit (CO₂)</w:t>
            </w:r>
          </w:p>
        </w:tc>
        <w:tc>
          <w:tcPr>
            <w:tcW w:type="dxa" w:w="1804"/>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B, C</w:t>
            </w:r>
          </w:p>
        </w:tc>
        <w:tc>
          <w:tcPr>
            <w:tcW w:type="dxa" w:w="2526"/>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Oksijen seyreltme</w:t>
            </w:r>
          </w:p>
        </w:tc>
        <w:tc>
          <w:tcPr>
            <w:tcW w:type="dxa" w:w="2706"/>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Kapalı hacimde boğulma riski; soğutma etkisi sınırlı</w:t>
            </w:r>
          </w:p>
        </w:tc>
      </w:tr>
      <w:tr>
        <w:tc>
          <w:tcPr>
            <w:tcW w:type="dxa" w:w="1984"/>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Halojenli bileşikler</w:t>
            </w:r>
          </w:p>
        </w:tc>
        <w:tc>
          <w:tcPr>
            <w:tcW w:type="dxa" w:w="1804"/>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A, B, C</w:t>
            </w:r>
          </w:p>
        </w:tc>
        <w:tc>
          <w:tcPr>
            <w:tcW w:type="dxa" w:w="2526"/>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Zincir reaksiyon kesme</w:t>
            </w:r>
          </w:p>
        </w:tc>
        <w:tc>
          <w:tcPr>
            <w:tcW w:type="dxa" w:w="2706"/>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Ozon tabakasına zarar; Montreal Protokolü kapsamında kısıtlı</w:t>
            </w:r>
          </w:p>
        </w:tc>
      </w:tr>
      <w:tr>
        <w:tc>
          <w:tcPr>
            <w:tcW w:type="dxa" w:w="1984"/>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Su / köpük</w:t>
            </w:r>
          </w:p>
        </w:tc>
        <w:tc>
          <w:tcPr>
            <w:tcW w:type="dxa" w:w="1804"/>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A, (B)</w:t>
            </w:r>
          </w:p>
        </w:tc>
        <w:tc>
          <w:tcPr>
            <w:tcW w:type="dxa" w:w="2526"/>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Soğutma + örtü</w:t>
            </w:r>
          </w:p>
        </w:tc>
        <w:tc>
          <w:tcPr>
            <w:tcW w:type="dxa" w:w="2706"/>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Elektrik ve yağ yangınlarında riskli; PFAS içerebilir</w:t>
            </w:r>
          </w:p>
        </w:tc>
      </w:tr>
    </w:tbl>
    <w:p>
      <w:pPr>
        <w:spacing w:after="220" w:before="70"/>
      </w:pPr>
      <w:r>
        <w:rPr>
          <w:i/>
          <w:iCs/>
          <w:color w:val="6B7280"/>
          <w:sz w:val="16"/>
          <w:szCs w:val="16"/>
        </w:rPr>
        <w:t xml:space="preserve">Kaynak: Kırtaş ve Altundağ (2023); Lee vd. (2021); EPA (2019) temel alınarak derlenmiştir.</w:t>
      </w:r>
    </w:p>
    <w:p>
      <w:pPr>
        <w:spacing w:after="130" w:line="300"/>
        <w:ind w:firstLine="340"/>
        <w:jc w:val="both"/>
      </w:pPr>
      <w:r>
        <w:rPr>
          <w:color w:val="1A1F24"/>
          <w:sz w:val="21"/>
          <w:szCs w:val="21"/>
        </w:rPr>
        <w:t xml:space="preserve">Tablo 1'de öne çıkan iki boşluk vardır. Birincisi, F sınıfı olarak tanımlanan bitkisel ve hayvansal yağ yangınlarıdır: ABC tozu bu sınıfta etkili değildir, çünkü kızgın yağ üzerinde yeterli soğutma sağlanamadığında yeniden tutuşma gerçekleşir. İkincisi, çevresel ve sağlık yükünü aynı anda düşük tutan bir seçeneğin bulunmamasıdır; listedeki her ürün en az bir eksende ciddi bir maliyet üretmektedir.</w:t>
      </w:r>
    </w:p>
    <w:p>
      <w:pPr>
        <w:pStyle w:val="Heading2"/>
        <w:keepNext/>
        <w:spacing w:after="120" w:before="300"/>
      </w:pPr>
      <w:r>
        <w:rPr>
          <w:b/>
          <w:bCs/>
          <w:color w:val="1A7A4A"/>
          <w:sz w:val="22"/>
          <w:szCs w:val="22"/>
        </w:rPr>
        <w:t xml:space="preserve">2.3 Biyo-atık olarak yumurta kabuğu</w:t>
      </w:r>
    </w:p>
    <w:p>
      <w:pPr>
        <w:spacing w:after="130" w:line="300"/>
        <w:jc w:val="both"/>
      </w:pPr>
      <w:r>
        <w:rPr>
          <w:color w:val="1A1F24"/>
          <w:sz w:val="21"/>
          <w:szCs w:val="21"/>
        </w:rPr>
        <w:t xml:space="preserve">Yumurta kabuğu, kütlesinin büyük bölümü kalsiyum karbonattan (CaCO₃) oluşan, gıda endüstrisinin yüksek hacimli ve düşük değerli bir yan ürünüdür. Kalsiyum karbonatın yangın söndürmede kullanımına ilişkin çalışmalar, bileşiğin yüksek sıcaklıkta bozunarak karbondioksit açığa çıkarmasının oksijen seyreltme açısından işlevsel olduğunu göstermektedir (Miller ve Carter, 2022). Bitki esaslı ve doğal kaynaklı geciktiricilere yönelik derlemeler de benzer biçimde, mineral kaynaklı endotermik bileşenlerin sentetik alternatiflere kıyasla çevresel açıdan üstün bir profil sunduğunu belirtmektedir (Anderson vd., 2023).</w:t>
      </w:r>
    </w:p>
    <w:p>
      <w:pPr>
        <w:spacing w:after="130" w:line="300"/>
        <w:ind w:firstLine="340"/>
        <w:jc w:val="both"/>
      </w:pPr>
      <w:r>
        <w:rPr>
          <w:color w:val="1A1F24"/>
          <w:sz w:val="21"/>
          <w:szCs w:val="21"/>
        </w:rPr>
        <w:t xml:space="preserve">Yumurta kabuğunun temel bileşen olarak seçilmesi üç gerekçeye dayanmaktadır. Birincisi işlevseldir: CaCO₃ yüksek sıcaklıkta CO₂ salarak oksijen seyreltme mekanizmasını sağlar. İkincisi ekonomiktir: hammadde bir atık akışından elde edildiği için maliyeti düşüktür ve tedariki ithalata bağlı değildir. Üçüncüsü çevreseldir: aksi takdirde bertaraf edilecek bir atık, bir güvenlik ürününe dönüştürülmektedir. Bu üçü bir araya geldiğinde ürün, yalnızca bir yangın çözümü değil aynı zamanda bir geri dönüşüm uygulaması hâline gelmektedir.</w:t>
      </w:r>
    </w:p>
    <w:p>
      <w:pPr>
        <w:pStyle w:val="Heading1"/>
        <w:keepNext/>
        <w:spacing w:after="160" w:before="400"/>
      </w:pPr>
      <w:r>
        <w:rPr>
          <w:b/>
          <w:bCs/>
          <w:color w:val="0F4A2E"/>
          <w:sz w:val="25"/>
          <w:szCs w:val="25"/>
        </w:rPr>
        <w:t xml:space="preserve">3. Materyal ve Yöntem</w:t>
      </w:r>
    </w:p>
    <w:p>
      <w:pPr>
        <w:pStyle w:val="Heading2"/>
        <w:keepNext/>
        <w:spacing w:after="120" w:before="300"/>
      </w:pPr>
      <w:r>
        <w:rPr>
          <w:b/>
          <w:bCs/>
          <w:color w:val="1A7A4A"/>
          <w:sz w:val="22"/>
          <w:szCs w:val="22"/>
        </w:rPr>
        <w:t xml:space="preserve">3.1 Formülasyon</w:t>
      </w:r>
    </w:p>
    <w:p>
      <w:pPr>
        <w:spacing w:after="130" w:line="300"/>
        <w:jc w:val="both"/>
      </w:pPr>
      <w:r>
        <w:rPr>
          <w:color w:val="1A1F24"/>
          <w:sz w:val="21"/>
          <w:szCs w:val="21"/>
        </w:rPr>
        <w:t xml:space="preserve">Geliştirilen bileşim ve bileşenlerin kütlece oranları Tablo 2'de verilmiştir. Oranlar, 2025/021562 numaralı patent başvurusunun birinci isteminde tanımlandığı şekildedir.</w:t>
      </w:r>
    </w:p>
    <w:p>
      <w:pPr>
        <w:keepNext/>
        <w:spacing w:after="90" w:before="200"/>
      </w:pPr>
      <w:r>
        <w:rPr>
          <w:b/>
          <w:bCs/>
          <w:color w:val="0F4A2E"/>
          <w:sz w:val="18"/>
          <w:szCs w:val="18"/>
        </w:rPr>
        <w:t xml:space="preserve">Tablo 2. ExtinGard bileşimi ve bileşenlerin işlevleri</w:t>
      </w:r>
    </w:p>
    <w:tbl>
      <w:tblPr>
        <w:tblW w:type="dxa" w:w="9020"/>
        <w:tblBorders>
          <w:top w:val="single" w:color="D3DAD6" w:sz="4"/>
          <w:left w:val="single" w:color="D3DAD6" w:sz="4"/>
          <w:bottom w:val="single" w:color="D3DAD6" w:sz="4"/>
          <w:right w:val="single" w:color="D3DAD6" w:sz="4"/>
          <w:insideH w:val="single" w:color="D3DAD6" w:sz="2"/>
          <w:insideV w:val="single" w:color="D3DAD6" w:sz="2"/>
        </w:tblBorders>
      </w:tblPr>
      <w:tblGrid>
        <w:gridCol w:w="2345"/>
        <w:gridCol w:w="902"/>
        <w:gridCol w:w="1624"/>
        <w:gridCol w:w="4149"/>
      </w:tblGrid>
      <w:tr>
        <w:trPr>
          <w:tblHeader/>
        </w:trPr>
        <w:tc>
          <w:tcPr>
            <w:tcW w:type="dxa" w:w="2345"/>
            <w:shd w:fill="0F4A2E" w:color="auto" w:val="clear"/>
            <w:tcMar>
              <w:top w:type="dxa" w:w="80"/>
              <w:left w:type="dxa" w:w="110"/>
              <w:bottom w:type="dxa" w:w="80"/>
              <w:right w:type="dxa" w:w="110"/>
            </w:tcMar>
            <w:vAlign w:val="center"/>
          </w:tcPr>
          <w:p>
            <w:pPr>
              <w:spacing w:after="50" w:before="50"/>
              <w:jc w:val="left"/>
            </w:pPr>
            <w:r>
              <w:rPr>
                <w:b/>
                <w:bCs/>
                <w:color w:val="FFFFFF"/>
                <w:sz w:val="18"/>
                <w:szCs w:val="18"/>
              </w:rPr>
              <w:t xml:space="preserve">Bileşen</w:t>
            </w:r>
          </w:p>
        </w:tc>
        <w:tc>
          <w:tcPr>
            <w:tcW w:type="dxa" w:w="902"/>
            <w:shd w:fill="0F4A2E" w:color="auto" w:val="clear"/>
            <w:tcMar>
              <w:top w:type="dxa" w:w="80"/>
              <w:left w:type="dxa" w:w="110"/>
              <w:bottom w:type="dxa" w:w="80"/>
              <w:right w:type="dxa" w:w="110"/>
            </w:tcMar>
            <w:vAlign w:val="center"/>
          </w:tcPr>
          <w:p>
            <w:pPr>
              <w:spacing w:after="50" w:before="50"/>
              <w:jc w:val="left"/>
            </w:pPr>
            <w:r>
              <w:rPr>
                <w:b/>
                <w:bCs/>
                <w:color w:val="FFFFFF"/>
                <w:sz w:val="18"/>
                <w:szCs w:val="18"/>
              </w:rPr>
              <w:t xml:space="preserve">Oran</w:t>
            </w:r>
          </w:p>
        </w:tc>
        <w:tc>
          <w:tcPr>
            <w:tcW w:type="dxa" w:w="1624"/>
            <w:shd w:fill="0F4A2E" w:color="auto" w:val="clear"/>
            <w:tcMar>
              <w:top w:type="dxa" w:w="80"/>
              <w:left w:type="dxa" w:w="110"/>
              <w:bottom w:type="dxa" w:w="80"/>
              <w:right w:type="dxa" w:w="110"/>
            </w:tcMar>
            <w:vAlign w:val="center"/>
          </w:tcPr>
          <w:p>
            <w:pPr>
              <w:spacing w:after="50" w:before="50"/>
              <w:jc w:val="left"/>
            </w:pPr>
            <w:r>
              <w:rPr>
                <w:b/>
                <w:bCs/>
                <w:color w:val="FFFFFF"/>
                <w:sz w:val="18"/>
                <w:szCs w:val="18"/>
              </w:rPr>
              <w:t xml:space="preserve">Aktivasyon</w:t>
            </w:r>
          </w:p>
        </w:tc>
        <w:tc>
          <w:tcPr>
            <w:tcW w:type="dxa" w:w="4149"/>
            <w:shd w:fill="0F4A2E" w:color="auto" w:val="clear"/>
            <w:tcMar>
              <w:top w:type="dxa" w:w="80"/>
              <w:left w:type="dxa" w:w="110"/>
              <w:bottom w:type="dxa" w:w="80"/>
              <w:right w:type="dxa" w:w="110"/>
            </w:tcMar>
            <w:vAlign w:val="center"/>
          </w:tcPr>
          <w:p>
            <w:pPr>
              <w:spacing w:after="50" w:before="50"/>
              <w:jc w:val="left"/>
            </w:pPr>
            <w:r>
              <w:rPr>
                <w:b/>
                <w:bCs/>
                <w:color w:val="FFFFFF"/>
                <w:sz w:val="18"/>
                <w:szCs w:val="18"/>
              </w:rPr>
              <w:t xml:space="preserve">İşlev</w:t>
            </w:r>
          </w:p>
        </w:tc>
      </w:tr>
      <w:tr>
        <w:tc>
          <w:tcPr>
            <w:tcW w:type="dxa" w:w="2345"/>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Yumurta kabuğu (CaCO₃ kaynağı)</w:t>
            </w:r>
          </w:p>
        </w:tc>
        <w:tc>
          <w:tcPr>
            <w:tcW w:type="dxa" w:w="902"/>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%50</w:t>
            </w:r>
          </w:p>
        </w:tc>
        <w:tc>
          <w:tcPr>
            <w:tcW w:type="dxa" w:w="1624"/>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~840 °C</w:t>
            </w:r>
          </w:p>
        </w:tc>
        <w:tc>
          <w:tcPr>
            <w:tcW w:type="dxa" w:w="4149"/>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Bozunarak CO₂ salar; alev çevresindeki oksijeni seyreltir</w:t>
            </w:r>
          </w:p>
        </w:tc>
      </w:tr>
      <w:tr>
        <w:tc>
          <w:tcPr>
            <w:tcW w:type="dxa" w:w="2345"/>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Magnezyum hidroksit, Mg(OH)₂</w:t>
            </w:r>
          </w:p>
        </w:tc>
        <w:tc>
          <w:tcPr>
            <w:tcW w:type="dxa" w:w="902"/>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%20</w:t>
            </w:r>
          </w:p>
        </w:tc>
        <w:tc>
          <w:tcPr>
            <w:tcW w:type="dxa" w:w="1624"/>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~350 °C</w:t>
            </w:r>
          </w:p>
        </w:tc>
        <w:tc>
          <w:tcPr>
            <w:tcW w:type="dxa" w:w="4149"/>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Endotermik bozunur; ısı çeker ve su buharı açığa çıkarır</w:t>
            </w:r>
          </w:p>
        </w:tc>
      </w:tr>
      <w:tr>
        <w:tc>
          <w:tcPr>
            <w:tcW w:type="dxa" w:w="2345"/>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Kalsiyum hidroksit, Ca(OH)₂</w:t>
            </w:r>
          </w:p>
        </w:tc>
        <w:tc>
          <w:tcPr>
            <w:tcW w:type="dxa" w:w="902"/>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%10</w:t>
            </w:r>
          </w:p>
        </w:tc>
        <w:tc>
          <w:tcPr>
            <w:tcW w:type="dxa" w:w="1624"/>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~512 °C</w:t>
            </w:r>
          </w:p>
        </w:tc>
        <w:tc>
          <w:tcPr>
            <w:tcW w:type="dxa" w:w="4149"/>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Daha yüksek sıcaklıkta devreye girerek soğutmayı sürdürür</w:t>
            </w:r>
          </w:p>
        </w:tc>
      </w:tr>
      <w:tr>
        <w:tc>
          <w:tcPr>
            <w:tcW w:type="dxa" w:w="2345"/>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Alüminyum hidroksit, Al(OH)₃</w:t>
            </w:r>
          </w:p>
        </w:tc>
        <w:tc>
          <w:tcPr>
            <w:tcW w:type="dxa" w:w="902"/>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%10</w:t>
            </w:r>
          </w:p>
        </w:tc>
        <w:tc>
          <w:tcPr>
            <w:tcW w:type="dxa" w:w="1624"/>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~200 °C</w:t>
            </w:r>
          </w:p>
        </w:tc>
        <w:tc>
          <w:tcPr>
            <w:tcW w:type="dxa" w:w="4149"/>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Su buharı salar; alev yayılımını geciktirir</w:t>
            </w:r>
          </w:p>
        </w:tc>
      </w:tr>
      <w:tr>
        <w:tc>
          <w:tcPr>
            <w:tcW w:type="dxa" w:w="2345"/>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Kaolin</w:t>
            </w:r>
          </w:p>
        </w:tc>
        <w:tc>
          <w:tcPr>
            <w:tcW w:type="dxa" w:w="902"/>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%8</w:t>
            </w:r>
          </w:p>
        </w:tc>
        <w:tc>
          <w:tcPr>
            <w:tcW w:type="dxa" w:w="1624"/>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w:t>
            </w:r>
          </w:p>
        </w:tc>
        <w:tc>
          <w:tcPr>
            <w:tcW w:type="dxa" w:w="4149"/>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Yüzeyde ısıya dayanıklı mineral örtü tabakası oluşturur</w:t>
            </w:r>
          </w:p>
        </w:tc>
      </w:tr>
      <w:tr>
        <w:tc>
          <w:tcPr>
            <w:tcW w:type="dxa" w:w="2345"/>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Magnezyum stearat</w:t>
            </w:r>
          </w:p>
        </w:tc>
        <w:tc>
          <w:tcPr>
            <w:tcW w:type="dxa" w:w="902"/>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%2</w:t>
            </w:r>
          </w:p>
        </w:tc>
        <w:tc>
          <w:tcPr>
            <w:tcW w:type="dxa" w:w="1624"/>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w:t>
            </w:r>
          </w:p>
        </w:tc>
        <w:tc>
          <w:tcPr>
            <w:tcW w:type="dxa" w:w="4149"/>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Topaklanmayı önler, tozun akışkanlığını sağlar</w:t>
            </w:r>
          </w:p>
        </w:tc>
      </w:tr>
    </w:tbl>
    <w:p>
      <w:pPr>
        <w:spacing w:after="220" w:before="70"/>
      </w:pPr>
      <w:r>
        <w:rPr>
          <w:i/>
          <w:iCs/>
          <w:color w:val="6B7280"/>
          <w:sz w:val="16"/>
          <w:szCs w:val="16"/>
        </w:rPr>
        <w:t xml:space="preserve">Aktivasyon sıcaklıkları saf bileşikler için yazından alınmıştır; karışımın termal davranışı bu çalışmada ölçülmemiştir (bkz. Bölüm 5.5).</w:t>
      </w:r>
    </w:p>
    <w:p>
      <w:pPr>
        <w:spacing w:after="130" w:line="300"/>
        <w:ind w:firstLine="340"/>
        <w:jc w:val="both"/>
      </w:pPr>
      <w:r>
        <w:rPr>
          <w:color w:val="1A1F24"/>
          <w:sz w:val="21"/>
          <w:szCs w:val="21"/>
        </w:rPr>
        <w:t xml:space="preserve">Bileşimin tasarım mantığı, bileşenlerin </w:t>
      </w:r>
      <w:r>
        <w:rPr>
          <w:b/>
          <w:bCs/>
          <w:color w:val="1A1F24"/>
          <w:sz w:val="21"/>
          <w:szCs w:val="21"/>
        </w:rPr>
        <w:t xml:space="preserve">farklı sıcaklıklarda</w:t>
      </w:r>
      <w:r>
        <w:rPr>
          <w:color w:val="1A1F24"/>
          <w:sz w:val="21"/>
          <w:szCs w:val="21"/>
        </w:rPr>
        <w:t xml:space="preserve"> devreye girmesine dayanır. Böylece söndürme etkisi tek bir ana yoğunlaşmak yerine yangının farklı evrelerine yayılır: düşük sıcaklıkta Al(OH)₃, orta sıcaklıkta Mg(OH)₂, daha yüksek sıcaklıkta Ca(OH)₂ ve en yüksek sıcaklıkta CaCO₃ katkı verir.</w:t>
      </w:r>
    </w:p>
    <w:p>
      <w:pPr>
        <w:pStyle w:val="Heading2"/>
        <w:keepNext/>
        <w:spacing w:after="120" w:before="300"/>
      </w:pPr>
      <w:r>
        <w:rPr>
          <w:b/>
          <w:bCs/>
          <w:color w:val="1A7A4A"/>
          <w:sz w:val="22"/>
          <w:szCs w:val="22"/>
        </w:rPr>
        <w:t xml:space="preserve">3.2 Üretim protokolü</w:t>
      </w:r>
    </w:p>
    <w:p>
      <w:pPr>
        <w:spacing w:after="130" w:line="300"/>
        <w:jc w:val="both"/>
      </w:pPr>
      <w:r>
        <w:rPr>
          <w:color w:val="1A1F24"/>
          <w:sz w:val="21"/>
          <w:szCs w:val="21"/>
        </w:rPr>
        <w:t xml:space="preserve">Üretim, standart laboratuvar ekipmanıyla yürütülebilen dört adımdan oluşmaktadır:</w:t>
      </w:r>
    </w:p>
    <w:p>
      <w:pPr>
        <w:pStyle w:val="ListParagraph"/>
        <w:numPr>
          <w:ilvl w:val="0"/>
          <w:numId w:val="3"/>
        </w:numPr>
        <w:spacing w:after="70" w:line="288"/>
      </w:pPr>
      <w:r>
        <w:rPr>
          <w:b/>
          <w:bCs/>
          <w:color w:val="1A1F24"/>
          <w:sz w:val="21"/>
          <w:szCs w:val="21"/>
        </w:rPr>
        <w:t xml:space="preserve">Temizleme.</w:t>
      </w:r>
      <w:r>
        <w:rPr>
          <w:color w:val="1A1F24"/>
          <w:sz w:val="21"/>
          <w:szCs w:val="21"/>
        </w:rPr>
        <w:t xml:space="preserve"> Geri dönüştürülmüş yumurta kabukları iç zarlarından ayrılır ve organik kalıntılardan arındırılacak biçimde temizlenir.</w:t>
      </w:r>
    </w:p>
    <w:p>
      <w:pPr>
        <w:pStyle w:val="ListParagraph"/>
        <w:numPr>
          <w:ilvl w:val="0"/>
          <w:numId w:val="3"/>
        </w:numPr>
        <w:spacing w:after="70" w:line="288"/>
      </w:pPr>
      <w:r>
        <w:rPr>
          <w:b/>
          <w:bCs/>
          <w:color w:val="1A1F24"/>
          <w:sz w:val="21"/>
          <w:szCs w:val="21"/>
        </w:rPr>
        <w:t xml:space="preserve">Kurutma.</w:t>
      </w:r>
      <w:r>
        <w:rPr>
          <w:color w:val="1A1F24"/>
          <w:sz w:val="21"/>
          <w:szCs w:val="21"/>
        </w:rPr>
        <w:t xml:space="preserve"> Temizlenen kabuklar, nem içeriği denetim altında tutularak kurutulur. Bu adım hem öğütme verimi hem de nihai ürünün raf ömrü açısından belirleyicidir.</w:t>
      </w:r>
    </w:p>
    <w:p>
      <w:pPr>
        <w:pStyle w:val="ListParagraph"/>
        <w:numPr>
          <w:ilvl w:val="0"/>
          <w:numId w:val="3"/>
        </w:numPr>
        <w:spacing w:after="70" w:line="288"/>
      </w:pPr>
      <w:r>
        <w:rPr>
          <w:b/>
          <w:bCs/>
          <w:color w:val="1A1F24"/>
          <w:sz w:val="21"/>
          <w:szCs w:val="21"/>
        </w:rPr>
        <w:t xml:space="preserve">Öğütme.</w:t>
      </w:r>
      <w:r>
        <w:rPr>
          <w:color w:val="1A1F24"/>
          <w:sz w:val="21"/>
          <w:szCs w:val="21"/>
        </w:rPr>
        <w:t xml:space="preserve"> Kurutulmuş kabuklar kaolin ile birlikte öğütülerek ince toz hâline getirilir. Kaolinin bu aşamada birlikte öğütülmesi, karışımın homojenliğini artırmaktadır.</w:t>
      </w:r>
    </w:p>
    <w:p>
      <w:pPr>
        <w:pStyle w:val="ListParagraph"/>
        <w:numPr>
          <w:ilvl w:val="0"/>
          <w:numId w:val="3"/>
        </w:numPr>
        <w:spacing w:after="70" w:line="288"/>
      </w:pPr>
      <w:r>
        <w:rPr>
          <w:b/>
          <w:bCs/>
          <w:color w:val="1A1F24"/>
          <w:sz w:val="21"/>
          <w:szCs w:val="21"/>
        </w:rPr>
        <w:t xml:space="preserve">Karıştırma ve eleme.</w:t>
      </w:r>
      <w:r>
        <w:rPr>
          <w:color w:val="1A1F24"/>
          <w:sz w:val="21"/>
          <w:szCs w:val="21"/>
        </w:rPr>
        <w:t xml:space="preserve"> Mg(OH)₂, Ca(OH)₂, Al(OH)₃ ve magnezyum stearat Tablo 2'deki oranlarda eklenir ve karışım gözle homojen görünüm elde edilene dek elenir.</w:t>
      </w:r>
    </w:p>
    <w:p>
      <w:pPr>
        <w:spacing w:after="80"/>
      </w:pPr>
    </w:p>
    <w:p>
      <w:pPr>
        <w:spacing w:after="130" w:line="300"/>
        <w:ind w:firstLine="340"/>
        <w:jc w:val="both"/>
      </w:pPr>
      <w:r>
        <w:rPr>
          <w:color w:val="1A1F24"/>
          <w:sz w:val="21"/>
          <w:szCs w:val="21"/>
        </w:rPr>
        <w:t xml:space="preserve">Protokolün tamamı basit ekipmanla uygulanabilmektedir. Bu özellik, pilot ölçeğe geçişte öğütme ve eleme adımlarının endüstriyel muadilleriyle değiştirilmesi dışında bir süreç değişikliği gerektirmediği anlamına gelmektedir. Hammaddenin tamamı yurt içinden temin edilmekte olup tedarik zinciri ithalata bağlı değildir.</w:t>
      </w:r>
    </w:p>
    <w:p>
      <w:pPr>
        <w:pStyle w:val="Heading2"/>
        <w:keepNext/>
        <w:spacing w:after="120" w:before="300"/>
      </w:pPr>
      <w:r>
        <w:rPr>
          <w:b/>
          <w:bCs/>
          <w:color w:val="1A7A4A"/>
          <w:sz w:val="22"/>
          <w:szCs w:val="22"/>
        </w:rPr>
        <w:t xml:space="preserve">3.3 Deney düzeneği ve ölçülen parametreler</w:t>
      </w:r>
    </w:p>
    <w:p>
      <w:pPr>
        <w:spacing w:after="130" w:line="300"/>
        <w:jc w:val="both"/>
      </w:pPr>
      <w:r>
        <w:rPr>
          <w:color w:val="1A1F24"/>
          <w:sz w:val="21"/>
          <w:szCs w:val="21"/>
        </w:rPr>
        <w:t xml:space="preserve">Söndürme performansı, dört farklı yangın sınıfını temsil edecek biçimde seçilen yedi yanıcı malzeme üzerinde denenmiştir. Malzeme seçiminde ölçüt, sınıf temsilinin yanı sıra gerçek kullanım senaryolarında karşılaşma sıklığı olmuştur: A sınıfı için kâğıt/karton, pamuk ve polyester kumaş; B sınıfı için tiner ve benzin; C sınıfı için LPG; F sınıfı için sıvı bitkisel yağ.</w:t>
      </w:r>
    </w:p>
    <w:p>
      <w:pPr>
        <w:spacing w:after="130" w:line="300"/>
        <w:ind w:firstLine="340"/>
        <w:jc w:val="both"/>
      </w:pPr>
      <w:r>
        <w:rPr>
          <w:color w:val="1A1F24"/>
          <w:sz w:val="21"/>
          <w:szCs w:val="21"/>
        </w:rPr>
        <w:t xml:space="preserve">Deneyler laboratuvar koşullarında ve kontrollü açık alan koşullarında, her denemede sabit miktarda toz kullanılarak yürütülmüştür. Kayıt altına alınan parametreler şunlardır:</w:t>
      </w:r>
    </w:p>
    <w:p>
      <w:pPr>
        <w:pStyle w:val="ListParagraph"/>
        <w:numPr>
          <w:ilvl w:val="0"/>
          <w:numId w:val="2"/>
        </w:numPr>
        <w:spacing w:after="70" w:line="288"/>
      </w:pPr>
      <w:r>
        <w:rPr>
          <w:b/>
          <w:bCs/>
          <w:color w:val="1A1F24"/>
          <w:sz w:val="21"/>
          <w:szCs w:val="21"/>
        </w:rPr>
        <w:t xml:space="preserve">Söndürme süresi</w:t>
      </w:r>
      <w:r>
        <w:rPr>
          <w:color w:val="1A1F24"/>
          <w:sz w:val="21"/>
          <w:szCs w:val="21"/>
        </w:rPr>
        <w:t xml:space="preserve"> — tozun uygulanmaya başlanmasından alevin tamamen sönmesine kadar geçen süre.</w:t>
      </w:r>
    </w:p>
    <w:p>
      <w:pPr>
        <w:pStyle w:val="ListParagraph"/>
        <w:numPr>
          <w:ilvl w:val="0"/>
          <w:numId w:val="2"/>
        </w:numPr>
        <w:spacing w:after="70" w:line="288"/>
      </w:pPr>
      <w:r>
        <w:rPr>
          <w:b/>
          <w:bCs/>
          <w:color w:val="1A1F24"/>
          <w:sz w:val="21"/>
          <w:szCs w:val="21"/>
        </w:rPr>
        <w:t xml:space="preserve">Alev yayılım hızı</w:t>
      </w:r>
      <w:r>
        <w:rPr>
          <w:color w:val="1A1F24"/>
          <w:sz w:val="21"/>
          <w:szCs w:val="21"/>
        </w:rPr>
        <w:t xml:space="preserve"> — uygulama öncesi ve sırasında alevin yayılma davranışı.</w:t>
      </w:r>
    </w:p>
    <w:p>
      <w:pPr>
        <w:pStyle w:val="ListParagraph"/>
        <w:numPr>
          <w:ilvl w:val="0"/>
          <w:numId w:val="2"/>
        </w:numPr>
        <w:spacing w:after="70" w:line="288"/>
      </w:pPr>
      <w:r>
        <w:rPr>
          <w:b/>
          <w:bCs/>
          <w:color w:val="1A1F24"/>
          <w:sz w:val="21"/>
          <w:szCs w:val="21"/>
        </w:rPr>
        <w:t xml:space="preserve">Yeniden tutuşma</w:t>
      </w:r>
      <w:r>
        <w:rPr>
          <w:color w:val="1A1F24"/>
          <w:sz w:val="21"/>
          <w:szCs w:val="21"/>
        </w:rPr>
        <w:t xml:space="preserve"> — söndürmenin ardından gözlem süresi içinde tutuşmanın tekrarlayıp tekrarlamadığı.</w:t>
      </w:r>
    </w:p>
    <w:p>
      <w:pPr>
        <w:pStyle w:val="ListParagraph"/>
        <w:numPr>
          <w:ilvl w:val="0"/>
          <w:numId w:val="2"/>
        </w:numPr>
        <w:spacing w:after="70" w:line="288"/>
      </w:pPr>
      <w:r>
        <w:rPr>
          <w:b/>
          <w:bCs/>
          <w:color w:val="1A1F24"/>
          <w:sz w:val="21"/>
          <w:szCs w:val="21"/>
        </w:rPr>
        <w:t xml:space="preserve">Yüzey kalıntısı</w:t>
      </w:r>
      <w:r>
        <w:rPr>
          <w:color w:val="1A1F24"/>
          <w:sz w:val="21"/>
          <w:szCs w:val="21"/>
        </w:rPr>
        <w:t xml:space="preserve"> — söndürme sonrasında yüzeyde kalan tozun niteliği ve temizlenebilirliği.</w:t>
      </w:r>
    </w:p>
    <w:p>
      <w:pPr>
        <w:spacing w:after="80"/>
      </w:pPr>
    </w:p>
    <w:p>
      <w:pPr>
        <w:spacing w:after="130" w:line="300"/>
        <w:ind w:firstLine="340"/>
        <w:jc w:val="both"/>
      </w:pPr>
      <w:r>
        <w:rPr>
          <w:color w:val="1A1F24"/>
          <w:sz w:val="21"/>
          <w:szCs w:val="21"/>
        </w:rPr>
        <w:t xml:space="preserve">Her malzeme için deney birden fazla kez tekrarlanmış ve denemelerin büyük bölümü tekrarlanabilirlik kanıtı olarak video kaydına alınmıştır. Saha denemeleri Bursa İtfaiye Arama Kurtarma ve Müdahale Birimleri ile ortaklaşa gerçekleştirilmiş; bu denemelerde söndürme süresi, alev yayılım hızı, CO₂ salınımı ve güvenlik etkisi parametreleri profesyonel gözlem altında değerlendirilmiştir.</w:t>
      </w:r>
    </w:p>
    <w:tbl>
      <w:tblPr>
        <w:tblW w:type="dxa" w:w="9020"/>
        <w:tblBorders>
          <w:top w:val="single" w:color="D3DAD6" w:sz="2"/>
          <w:left w:val="single" w:color="D89A22" w:sz="18"/>
          <w:bottom w:val="single" w:color="D3DAD6" w:sz="2"/>
          <w:right w:val="single" w:color="D3DAD6" w:sz="2"/>
          <w:insideH w:val="none"/>
          <w:insideV w:val="none"/>
        </w:tblBorders>
      </w:tblPr>
      <w:tblGrid>
        <w:gridCol w:w="9020"/>
      </w:tblGrid>
      <w:tr>
        <w:tc>
          <w:tcPr>
            <w:tcW w:type="dxa" w:w="9020"/>
            <w:shd w:fill="FFF8EC" w:color="auto" w:val="clear"/>
            <w:tcMar>
              <w:top w:type="dxa" w:w="150"/>
              <w:left w:type="dxa" w:w="190"/>
              <w:bottom w:type="dxa" w:w="150"/>
              <w:right w:type="dxa" w:w="160"/>
            </w:tcMar>
          </w:tcPr>
          <w:p>
            <w:pPr>
              <w:spacing w:after="60"/>
            </w:pPr>
            <w:r>
              <w:rPr>
                <w:b/>
                <w:bCs/>
                <w:color w:val="B4610D"/>
                <w:sz w:val="16"/>
                <w:szCs w:val="16"/>
              </w:rPr>
              <w:t xml:space="preserve">YÖNTEM ŞEFFAFLIĞI</w:t>
            </w:r>
          </w:p>
          <w:p>
            <w:pPr>
              <w:spacing w:after="0" w:line="276"/>
              <w:jc w:val="both"/>
            </w:pPr>
            <w:r>
              <w:rPr>
                <w:color w:val="333A3F"/>
                <w:sz w:val="19"/>
                <w:szCs w:val="19"/>
              </w:rPr>
              <w:t xml:space="preserve">Deneyler araştırma ekibinin kendi olanaklarıyla ve itfaiye desteğiyle yürütülmüştür. </w:t>
            </w:r>
            <w:r>
              <w:rPr>
                <w:b/>
                <w:bCs/>
                <w:color w:val="333A3F"/>
                <w:sz w:val="19"/>
                <w:szCs w:val="19"/>
              </w:rPr>
              <w:t xml:space="preserve">TS EN 615 kapsamındaki sertifikasyon testleri henüz tamamlanmamıştır.</w:t>
            </w:r>
            <w:r>
              <w:rPr>
                <w:color w:val="333A3F"/>
                <w:sz w:val="19"/>
                <w:szCs w:val="19"/>
              </w:rPr>
              <w:t xml:space="preserve"> Bu nedenle çalışmada herhangi bir standart yangın derecesi (örneğin 21A veya 113B) iddia edilmemekte; sonuçlar ön doğrulama verisi olarak sunulmaktadır.</w:t>
            </w:r>
          </w:p>
        </w:tc>
      </w:tr>
    </w:tbl>
    <w:p>
      <w:pPr>
        <w:spacing w:after="200"/>
      </w:pPr>
    </w:p>
    <w:p>
      <w:pPr>
        <w:pStyle w:val="Heading2"/>
        <w:keepNext/>
        <w:spacing w:after="120" w:before="300"/>
      </w:pPr>
      <w:r>
        <w:rPr>
          <w:b/>
          <w:bCs/>
          <w:color w:val="1A7A4A"/>
          <w:sz w:val="22"/>
          <w:szCs w:val="22"/>
        </w:rPr>
        <w:t xml:space="preserve">3.4 Maliyet hesaplama yöntemi</w:t>
      </w:r>
    </w:p>
    <w:p>
      <w:pPr>
        <w:spacing w:after="130" w:line="300"/>
        <w:jc w:val="both"/>
      </w:pPr>
      <w:r>
        <w:rPr>
          <w:color w:val="1A1F24"/>
          <w:sz w:val="21"/>
          <w:szCs w:val="21"/>
        </w:rPr>
        <w:t xml:space="preserve">Birim maliyet, Tablo 2'deki kütlesel oranlar üzerinden bileşen bazında hesaplanmıştır. Yumurta kabuğu bir atık akışından temin edildiği için hammadde maliyeti yalnızca toplama, temizleme ve kurutma işçiliğini kapsamaktadır. Karşılaştırma değerleri, aynı dönemde piyasada geçerli olan ABC ve BC tozu perakende fiyatları esas alınarak belirlenmiştir. Hesap laboratuvar ölçeğine aittir; endüstriyel ölçekte birim maliyetin değişebileceği Bölüm 5.5'te tartışılmaktadır.</w:t>
      </w:r>
    </w:p>
    <w:p>
      <w:pPr>
        <w:pStyle w:val="Heading1"/>
        <w:keepNext/>
        <w:spacing w:after="160" w:before="400"/>
      </w:pPr>
      <w:r>
        <w:rPr>
          <w:b/>
          <w:bCs/>
          <w:color w:val="0F4A2E"/>
          <w:sz w:val="25"/>
          <w:szCs w:val="25"/>
        </w:rPr>
        <w:t xml:space="preserve">4. Bulgular</w:t>
      </w:r>
    </w:p>
    <w:p>
      <w:pPr>
        <w:pStyle w:val="Heading2"/>
        <w:keepNext/>
        <w:spacing w:after="120" w:before="300"/>
      </w:pPr>
      <w:r>
        <w:rPr>
          <w:b/>
          <w:bCs/>
          <w:color w:val="1A7A4A"/>
          <w:sz w:val="22"/>
          <w:szCs w:val="22"/>
        </w:rPr>
        <w:t xml:space="preserve">4.1 Kademeli termal bozunma</w:t>
      </w:r>
    </w:p>
    <w:p>
      <w:pPr>
        <w:spacing w:after="130" w:line="300"/>
        <w:jc w:val="both"/>
      </w:pPr>
      <w:r>
        <w:rPr>
          <w:color w:val="1A1F24"/>
          <w:sz w:val="21"/>
          <w:szCs w:val="21"/>
        </w:rPr>
        <w:t xml:space="preserve">Söndürme etkisinin arkasındaki temel kimyasal olgu, belirli sıcaklıklarda devreye giren endotermik bozunma tepkimeleridir. Endotermik tepkime tanımı gereği ortamdan ısı çeker; dolayısıyla yangını soğutur. Bileşimde yer alan dört tepkime ve ilgili sıcaklık aralıkları Tablo 3'te özetlenmiştir.</w:t>
      </w:r>
    </w:p>
    <w:p>
      <w:pPr>
        <w:keepNext/>
        <w:spacing w:after="90" w:before="200"/>
      </w:pPr>
      <w:r>
        <w:rPr>
          <w:b/>
          <w:bCs/>
          <w:color w:val="0F4A2E"/>
          <w:sz w:val="18"/>
          <w:szCs w:val="18"/>
        </w:rPr>
        <w:t xml:space="preserve">Tablo 3. Bileşenlerin bozunma tepkimeleri ve söndürmeye katkıları</w:t>
      </w:r>
    </w:p>
    <w:tbl>
      <w:tblPr>
        <w:tblW w:type="dxa" w:w="9020"/>
        <w:tblBorders>
          <w:top w:val="single" w:color="D3DAD6" w:sz="4"/>
          <w:left w:val="single" w:color="D3DAD6" w:sz="4"/>
          <w:bottom w:val="single" w:color="D3DAD6" w:sz="4"/>
          <w:right w:val="single" w:color="D3DAD6" w:sz="4"/>
          <w:insideH w:val="single" w:color="D3DAD6" w:sz="2"/>
          <w:insideV w:val="single" w:color="D3DAD6" w:sz="2"/>
        </w:tblBorders>
      </w:tblPr>
      <w:tblGrid>
        <w:gridCol w:w="2165"/>
        <w:gridCol w:w="2706"/>
        <w:gridCol w:w="1263"/>
        <w:gridCol w:w="2886"/>
      </w:tblGrid>
      <w:tr>
        <w:trPr>
          <w:tblHeader/>
        </w:trPr>
        <w:tc>
          <w:tcPr>
            <w:tcW w:type="dxa" w:w="2165"/>
            <w:shd w:fill="0F4A2E" w:color="auto" w:val="clear"/>
            <w:tcMar>
              <w:top w:type="dxa" w:w="80"/>
              <w:left w:type="dxa" w:w="110"/>
              <w:bottom w:type="dxa" w:w="80"/>
              <w:right w:type="dxa" w:w="110"/>
            </w:tcMar>
            <w:vAlign w:val="center"/>
          </w:tcPr>
          <w:p>
            <w:pPr>
              <w:spacing w:after="50" w:before="50"/>
              <w:jc w:val="left"/>
            </w:pPr>
            <w:r>
              <w:rPr>
                <w:b/>
                <w:bCs/>
                <w:color w:val="FFFFFF"/>
                <w:sz w:val="18"/>
                <w:szCs w:val="18"/>
              </w:rPr>
              <w:t xml:space="preserve">Bileşen</w:t>
            </w:r>
          </w:p>
        </w:tc>
        <w:tc>
          <w:tcPr>
            <w:tcW w:type="dxa" w:w="2706"/>
            <w:shd w:fill="0F4A2E" w:color="auto" w:val="clear"/>
            <w:tcMar>
              <w:top w:type="dxa" w:w="80"/>
              <w:left w:type="dxa" w:w="110"/>
              <w:bottom w:type="dxa" w:w="80"/>
              <w:right w:type="dxa" w:w="110"/>
            </w:tcMar>
            <w:vAlign w:val="center"/>
          </w:tcPr>
          <w:p>
            <w:pPr>
              <w:spacing w:after="50" w:before="50"/>
              <w:jc w:val="left"/>
            </w:pPr>
            <w:r>
              <w:rPr>
                <w:b/>
                <w:bCs/>
                <w:color w:val="FFFFFF"/>
                <w:sz w:val="18"/>
                <w:szCs w:val="18"/>
              </w:rPr>
              <w:t xml:space="preserve">Tepkime</w:t>
            </w:r>
          </w:p>
        </w:tc>
        <w:tc>
          <w:tcPr>
            <w:tcW w:type="dxa" w:w="1263"/>
            <w:shd w:fill="0F4A2E" w:color="auto" w:val="clear"/>
            <w:tcMar>
              <w:top w:type="dxa" w:w="80"/>
              <w:left w:type="dxa" w:w="110"/>
              <w:bottom w:type="dxa" w:w="80"/>
              <w:right w:type="dxa" w:w="110"/>
            </w:tcMar>
            <w:vAlign w:val="center"/>
          </w:tcPr>
          <w:p>
            <w:pPr>
              <w:spacing w:after="50" w:before="50"/>
              <w:jc w:val="left"/>
            </w:pPr>
            <w:r>
              <w:rPr>
                <w:b/>
                <w:bCs/>
                <w:color w:val="FFFFFF"/>
                <w:sz w:val="18"/>
                <w:szCs w:val="18"/>
              </w:rPr>
              <w:t xml:space="preserve">Sıcaklık</w:t>
            </w:r>
          </w:p>
        </w:tc>
        <w:tc>
          <w:tcPr>
            <w:tcW w:type="dxa" w:w="2886"/>
            <w:shd w:fill="0F4A2E" w:color="auto" w:val="clear"/>
            <w:tcMar>
              <w:top w:type="dxa" w:w="80"/>
              <w:left w:type="dxa" w:w="110"/>
              <w:bottom w:type="dxa" w:w="80"/>
              <w:right w:type="dxa" w:w="110"/>
            </w:tcMar>
            <w:vAlign w:val="center"/>
          </w:tcPr>
          <w:p>
            <w:pPr>
              <w:spacing w:after="50" w:before="50"/>
              <w:jc w:val="left"/>
            </w:pPr>
            <w:r>
              <w:rPr>
                <w:b/>
                <w:bCs/>
                <w:color w:val="FFFFFF"/>
                <w:sz w:val="18"/>
                <w:szCs w:val="18"/>
              </w:rPr>
              <w:t xml:space="preserve">Söndürmeye katkısı</w:t>
            </w:r>
          </w:p>
        </w:tc>
      </w:tr>
      <w:tr>
        <w:tc>
          <w:tcPr>
            <w:tcW w:type="dxa" w:w="2165"/>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Alüminyum hidroksit</w:t>
            </w:r>
          </w:p>
        </w:tc>
        <w:tc>
          <w:tcPr>
            <w:tcW w:type="dxa" w:w="2706"/>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2 Al(OH)₃ → Al₂O₃ + 3 H₂O</w:t>
            </w:r>
          </w:p>
        </w:tc>
        <w:tc>
          <w:tcPr>
            <w:tcW w:type="dxa" w:w="1263"/>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~200 °C</w:t>
            </w:r>
          </w:p>
        </w:tc>
        <w:tc>
          <w:tcPr>
            <w:tcW w:type="dxa" w:w="2886"/>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Su buharı açığa çıkar, alev seyrelir; Al₂O₃ örtüye katkı verir</w:t>
            </w:r>
          </w:p>
        </w:tc>
      </w:tr>
      <w:tr>
        <w:tc>
          <w:tcPr>
            <w:tcW w:type="dxa" w:w="2165"/>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Magnezyum hidroksit</w:t>
            </w:r>
          </w:p>
        </w:tc>
        <w:tc>
          <w:tcPr>
            <w:tcW w:type="dxa" w:w="2706"/>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Mg(OH)₂ → MgO + H₂O</w:t>
            </w:r>
          </w:p>
        </w:tc>
        <w:tc>
          <w:tcPr>
            <w:tcW w:type="dxa" w:w="1263"/>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~350 °C</w:t>
            </w:r>
          </w:p>
        </w:tc>
        <w:tc>
          <w:tcPr>
            <w:tcW w:type="dxa" w:w="2886"/>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Isı emilir, ortam soğur, su buharı salınır</w:t>
            </w:r>
          </w:p>
        </w:tc>
      </w:tr>
      <w:tr>
        <w:tc>
          <w:tcPr>
            <w:tcW w:type="dxa" w:w="2165"/>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Kalsiyum hidroksit</w:t>
            </w:r>
          </w:p>
        </w:tc>
        <w:tc>
          <w:tcPr>
            <w:tcW w:type="dxa" w:w="2706"/>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Ca(OH)₂ → CaO + H₂O</w:t>
            </w:r>
          </w:p>
        </w:tc>
        <w:tc>
          <w:tcPr>
            <w:tcW w:type="dxa" w:w="1263"/>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~512 °C</w:t>
            </w:r>
          </w:p>
        </w:tc>
        <w:tc>
          <w:tcPr>
            <w:tcW w:type="dxa" w:w="2886"/>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ΔH ≈ +109,5 kJ/mol; soğutma daha yüksek sıcaklıkta sürer</w:t>
            </w:r>
          </w:p>
        </w:tc>
      </w:tr>
      <w:tr>
        <w:tc>
          <w:tcPr>
            <w:tcW w:type="dxa" w:w="2165"/>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Kalsiyum karbonat</w:t>
            </w:r>
          </w:p>
        </w:tc>
        <w:tc>
          <w:tcPr>
            <w:tcW w:type="dxa" w:w="2706"/>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CaCO₃ → CaO + CO₂</w:t>
            </w:r>
          </w:p>
        </w:tc>
        <w:tc>
          <w:tcPr>
            <w:tcW w:type="dxa" w:w="1263"/>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~840 °C</w:t>
            </w:r>
          </w:p>
        </w:tc>
        <w:tc>
          <w:tcPr>
            <w:tcW w:type="dxa" w:w="2886"/>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ΔH ≈ +178 kJ/mol; salınan CO₂ oksijeni seyreltir</w:t>
            </w:r>
          </w:p>
        </w:tc>
      </w:tr>
    </w:tbl>
    <w:p>
      <w:pPr>
        <w:spacing w:after="220" w:before="70"/>
      </w:pPr>
      <w:r>
        <w:rPr>
          <w:i/>
          <w:iCs/>
          <w:color w:val="6B7280"/>
          <w:sz w:val="16"/>
          <w:szCs w:val="16"/>
        </w:rPr>
        <w:t xml:space="preserve">Entalpi ve sıcaklık değerleri saf bileşikler için yazından alınmıştır.</w:t>
      </w:r>
    </w:p>
    <w:p>
      <w:pPr>
        <w:spacing w:after="130" w:line="300"/>
        <w:ind w:firstLine="340"/>
        <w:jc w:val="both"/>
      </w:pPr>
      <w:r>
        <w:rPr>
          <w:color w:val="1A1F24"/>
          <w:sz w:val="21"/>
          <w:szCs w:val="21"/>
        </w:rPr>
        <w:t xml:space="preserve">Tablo 3'ün ortaya koyduğu asıl bulgu tek tek tepkimeler değil, bunların </w:t>
      </w:r>
      <w:r>
        <w:rPr>
          <w:b/>
          <w:bCs/>
          <w:color w:val="1A1F24"/>
          <w:sz w:val="21"/>
          <w:szCs w:val="21"/>
        </w:rPr>
        <w:t xml:space="preserve">sıcaklık ekseninde birbirini izlemesidir.</w:t>
      </w:r>
      <w:r>
        <w:rPr>
          <w:color w:val="1A1F24"/>
          <w:sz w:val="21"/>
          <w:szCs w:val="21"/>
        </w:rPr>
        <w:t xml:space="preserve"> Yaklaşık 200 °C'den 840 °C'ye uzanan bu kademeli dizilim sayesinde söndürme etkisi tek bir anda tükenmek yerine yangının ısınma, gelişme ve tam yanma evrelerine yayılmaktadır. Buna ek olarak, bozunma ürünleri olan Al₂O₃, MgO ve CaO refrakter nitelikte oksitlerdir; kaolinle birlikte yanan yüzeyde ısıya dayanıklı bir örtü oluşturarak yakıt ile oksijen arasındaki teması kesmektedir.</w:t>
      </w:r>
    </w:p>
    <w:p>
      <w:pPr>
        <w:pStyle w:val="Heading2"/>
        <w:keepNext/>
        <w:spacing w:after="120" w:before="300"/>
      </w:pPr>
      <w:r>
        <w:rPr>
          <w:b/>
          <w:bCs/>
          <w:color w:val="1A7A4A"/>
          <w:sz w:val="22"/>
          <w:szCs w:val="22"/>
        </w:rPr>
        <w:t xml:space="preserve">4.2 Söndürme performansı</w:t>
      </w:r>
    </w:p>
    <w:p>
      <w:pPr>
        <w:spacing w:after="130" w:line="300"/>
        <w:jc w:val="both"/>
      </w:pPr>
      <w:r>
        <w:rPr>
          <w:color w:val="1A1F24"/>
          <w:sz w:val="21"/>
          <w:szCs w:val="21"/>
        </w:rPr>
        <w:t xml:space="preserve">Yedi yanıcı malzemenin tamamında tam söndürme gözlemlenmiştir. Sonuçlar ve gözlemler Tablo 4'te verilmiştir.</w:t>
      </w:r>
    </w:p>
    <w:p>
      <w:pPr>
        <w:keepNext/>
        <w:spacing w:after="90" w:before="200"/>
      </w:pPr>
      <w:r>
        <w:rPr>
          <w:b/>
          <w:bCs/>
          <w:color w:val="0F4A2E"/>
          <w:sz w:val="18"/>
          <w:szCs w:val="18"/>
        </w:rPr>
        <w:t xml:space="preserve">Tablo 4. Yanıcı malzeme bazında söndürme sonuçları</w:t>
      </w:r>
    </w:p>
    <w:tbl>
      <w:tblPr>
        <w:tblW w:type="dxa" w:w="9020"/>
        <w:tblBorders>
          <w:top w:val="single" w:color="D3DAD6" w:sz="4"/>
          <w:left w:val="single" w:color="D3DAD6" w:sz="4"/>
          <w:bottom w:val="single" w:color="D3DAD6" w:sz="4"/>
          <w:right w:val="single" w:color="D3DAD6" w:sz="4"/>
          <w:insideH w:val="single" w:color="D3DAD6" w:sz="2"/>
          <w:insideV w:val="single" w:color="D3DAD6" w:sz="2"/>
        </w:tblBorders>
      </w:tblPr>
      <w:tblGrid>
        <w:gridCol w:w="1984"/>
        <w:gridCol w:w="902"/>
        <w:gridCol w:w="1263"/>
        <w:gridCol w:w="4871"/>
      </w:tblGrid>
      <w:tr>
        <w:trPr>
          <w:tblHeader/>
        </w:trPr>
        <w:tc>
          <w:tcPr>
            <w:tcW w:type="dxa" w:w="1984"/>
            <w:shd w:fill="0F4A2E" w:color="auto" w:val="clear"/>
            <w:tcMar>
              <w:top w:type="dxa" w:w="80"/>
              <w:left w:type="dxa" w:w="110"/>
              <w:bottom w:type="dxa" w:w="80"/>
              <w:right w:type="dxa" w:w="110"/>
            </w:tcMar>
            <w:vAlign w:val="center"/>
          </w:tcPr>
          <w:p>
            <w:pPr>
              <w:spacing w:after="50" w:before="50"/>
              <w:jc w:val="left"/>
            </w:pPr>
            <w:r>
              <w:rPr>
                <w:b/>
                <w:bCs/>
                <w:color w:val="FFFFFF"/>
                <w:sz w:val="18"/>
                <w:szCs w:val="18"/>
              </w:rPr>
              <w:t xml:space="preserve">Yanıcı malzeme</w:t>
            </w:r>
          </w:p>
        </w:tc>
        <w:tc>
          <w:tcPr>
            <w:tcW w:type="dxa" w:w="902"/>
            <w:shd w:fill="0F4A2E" w:color="auto" w:val="clear"/>
            <w:tcMar>
              <w:top w:type="dxa" w:w="80"/>
              <w:left w:type="dxa" w:w="110"/>
              <w:bottom w:type="dxa" w:w="80"/>
              <w:right w:type="dxa" w:w="110"/>
            </w:tcMar>
            <w:vAlign w:val="center"/>
          </w:tcPr>
          <w:p>
            <w:pPr>
              <w:spacing w:after="50" w:before="50"/>
              <w:jc w:val="left"/>
            </w:pPr>
            <w:r>
              <w:rPr>
                <w:b/>
                <w:bCs/>
                <w:color w:val="FFFFFF"/>
                <w:sz w:val="18"/>
                <w:szCs w:val="18"/>
              </w:rPr>
              <w:t xml:space="preserve">Sınıf</w:t>
            </w:r>
          </w:p>
        </w:tc>
        <w:tc>
          <w:tcPr>
            <w:tcW w:type="dxa" w:w="1263"/>
            <w:shd w:fill="0F4A2E" w:color="auto" w:val="clear"/>
            <w:tcMar>
              <w:top w:type="dxa" w:w="80"/>
              <w:left w:type="dxa" w:w="110"/>
              <w:bottom w:type="dxa" w:w="80"/>
              <w:right w:type="dxa" w:w="110"/>
            </w:tcMar>
            <w:vAlign w:val="center"/>
          </w:tcPr>
          <w:p>
            <w:pPr>
              <w:spacing w:after="50" w:before="50"/>
              <w:jc w:val="left"/>
            </w:pPr>
            <w:r>
              <w:rPr>
                <w:b/>
                <w:bCs/>
                <w:color w:val="FFFFFF"/>
                <w:sz w:val="18"/>
                <w:szCs w:val="18"/>
              </w:rPr>
              <w:t xml:space="preserve">Sonuç</w:t>
            </w:r>
          </w:p>
        </w:tc>
        <w:tc>
          <w:tcPr>
            <w:tcW w:type="dxa" w:w="4871"/>
            <w:shd w:fill="0F4A2E" w:color="auto" w:val="clear"/>
            <w:tcMar>
              <w:top w:type="dxa" w:w="80"/>
              <w:left w:type="dxa" w:w="110"/>
              <w:bottom w:type="dxa" w:w="80"/>
              <w:right w:type="dxa" w:w="110"/>
            </w:tcMar>
            <w:vAlign w:val="center"/>
          </w:tcPr>
          <w:p>
            <w:pPr>
              <w:spacing w:after="50" w:before="50"/>
              <w:jc w:val="left"/>
            </w:pPr>
            <w:r>
              <w:rPr>
                <w:b/>
                <w:bCs/>
                <w:color w:val="FFFFFF"/>
                <w:sz w:val="18"/>
                <w:szCs w:val="18"/>
              </w:rPr>
              <w:t xml:space="preserve">Gözlem</w:t>
            </w:r>
          </w:p>
        </w:tc>
      </w:tr>
      <w:tr>
        <w:tc>
          <w:tcPr>
            <w:tcW w:type="dxa" w:w="1984"/>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Kâğıt / karton</w:t>
            </w:r>
          </w:p>
        </w:tc>
        <w:tc>
          <w:tcPr>
            <w:tcW w:type="dxa" w:w="902"/>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A</w:t>
            </w:r>
          </w:p>
        </w:tc>
        <w:tc>
          <w:tcPr>
            <w:tcW w:type="dxa" w:w="1263"/>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Başarılı</w:t>
            </w:r>
          </w:p>
        </w:tc>
        <w:tc>
          <w:tcPr>
            <w:tcW w:type="dxa" w:w="4871"/>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Alev yayılımı uygulamayla birlikte durdu</w:t>
            </w:r>
          </w:p>
        </w:tc>
      </w:tr>
      <w:tr>
        <w:tc>
          <w:tcPr>
            <w:tcW w:type="dxa" w:w="1984"/>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Pamuk</w:t>
            </w:r>
          </w:p>
        </w:tc>
        <w:tc>
          <w:tcPr>
            <w:tcW w:type="dxa" w:w="902"/>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A</w:t>
            </w:r>
          </w:p>
        </w:tc>
        <w:tc>
          <w:tcPr>
            <w:tcW w:type="dxa" w:w="1263"/>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Başarılı</w:t>
            </w:r>
          </w:p>
        </w:tc>
        <w:tc>
          <w:tcPr>
            <w:tcW w:type="dxa" w:w="4871"/>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Hızlı sönme gözlemlendi</w:t>
            </w:r>
          </w:p>
        </w:tc>
      </w:tr>
      <w:tr>
        <w:tc>
          <w:tcPr>
            <w:tcW w:type="dxa" w:w="1984"/>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Polyester kumaş</w:t>
            </w:r>
          </w:p>
        </w:tc>
        <w:tc>
          <w:tcPr>
            <w:tcW w:type="dxa" w:w="902"/>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A</w:t>
            </w:r>
          </w:p>
        </w:tc>
        <w:tc>
          <w:tcPr>
            <w:tcW w:type="dxa" w:w="1263"/>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Başarılı</w:t>
            </w:r>
          </w:p>
        </w:tc>
        <w:tc>
          <w:tcPr>
            <w:tcW w:type="dxa" w:w="4871"/>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Sentetik yapıya rağmen etkili söndürme</w:t>
            </w:r>
          </w:p>
        </w:tc>
      </w:tr>
      <w:tr>
        <w:tc>
          <w:tcPr>
            <w:tcW w:type="dxa" w:w="1984"/>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Tiner</w:t>
            </w:r>
          </w:p>
        </w:tc>
        <w:tc>
          <w:tcPr>
            <w:tcW w:type="dxa" w:w="902"/>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B</w:t>
            </w:r>
          </w:p>
        </w:tc>
        <w:tc>
          <w:tcPr>
            <w:tcW w:type="dxa" w:w="1263"/>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Başarılı</w:t>
            </w:r>
          </w:p>
        </w:tc>
        <w:tc>
          <w:tcPr>
            <w:tcW w:type="dxa" w:w="4871"/>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Yüzey filmlenmesiyle alev yaklaşık 5 saniyede baskılandı</w:t>
            </w:r>
          </w:p>
        </w:tc>
      </w:tr>
      <w:tr>
        <w:tc>
          <w:tcPr>
            <w:tcW w:type="dxa" w:w="1984"/>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Benzin</w:t>
            </w:r>
          </w:p>
        </w:tc>
        <w:tc>
          <w:tcPr>
            <w:tcW w:type="dxa" w:w="902"/>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B</w:t>
            </w:r>
          </w:p>
        </w:tc>
        <w:tc>
          <w:tcPr>
            <w:tcW w:type="dxa" w:w="1263"/>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Başarılı</w:t>
            </w:r>
          </w:p>
        </w:tc>
        <w:tc>
          <w:tcPr>
            <w:tcW w:type="dxa" w:w="4871"/>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Sıvı yüzeyde yayılma engellendi; 6–8 saniyede söndürüldü</w:t>
            </w:r>
          </w:p>
        </w:tc>
      </w:tr>
      <w:tr>
        <w:tc>
          <w:tcPr>
            <w:tcW w:type="dxa" w:w="1984"/>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LPG</w:t>
            </w:r>
          </w:p>
        </w:tc>
        <w:tc>
          <w:tcPr>
            <w:tcW w:type="dxa" w:w="902"/>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C</w:t>
            </w:r>
          </w:p>
        </w:tc>
        <w:tc>
          <w:tcPr>
            <w:tcW w:type="dxa" w:w="1263"/>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Başarılı</w:t>
            </w:r>
          </w:p>
        </w:tc>
        <w:tc>
          <w:tcPr>
            <w:tcW w:type="dxa" w:w="4871"/>
            <w:shd w:fill="F2F6F3" w:color="auto" w:val="clear"/>
            <w:tcMar>
              <w:top w:type="dxa" w:w="80"/>
              <w:left w:type="dxa" w:w="110"/>
              <w:bottom w:type="dxa" w:w="80"/>
              <w:right w:type="dxa" w:w="110"/>
            </w:tcMar>
            <w:vAlign w:val="top"/>
          </w:tcPr>
          <w:p>
            <w:pPr>
              <w:spacing w:after="50" w:before="50"/>
              <w:jc w:val="left"/>
            </w:pPr>
            <w:r>
              <w:rPr>
                <w:color w:val="333A3F"/>
                <w:sz w:val="18"/>
                <w:szCs w:val="18"/>
              </w:rPr>
              <w:t xml:space="preserve">Gaz alevi 3–4 saniyede kesildi</w:t>
            </w:r>
          </w:p>
        </w:tc>
      </w:tr>
      <w:tr>
        <w:tc>
          <w:tcPr>
            <w:tcW w:type="dxa" w:w="1984"/>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Sıvı bitkisel yağ</w:t>
            </w:r>
          </w:p>
        </w:tc>
        <w:tc>
          <w:tcPr>
            <w:tcW w:type="dxa" w:w="902"/>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F</w:t>
            </w:r>
          </w:p>
        </w:tc>
        <w:tc>
          <w:tcPr>
            <w:tcW w:type="dxa" w:w="1263"/>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Başarılı</w:t>
            </w:r>
          </w:p>
        </w:tc>
        <w:tc>
          <w:tcPr>
            <w:tcW w:type="dxa" w:w="4871"/>
            <w:shd w:fill="FFFFFF" w:color="auto" w:val="clear"/>
            <w:tcMar>
              <w:top w:type="dxa" w:w="80"/>
              <w:left w:type="dxa" w:w="110"/>
              <w:bottom w:type="dxa" w:w="80"/>
              <w:right w:type="dxa" w:w="110"/>
            </w:tcMar>
            <w:vAlign w:val="top"/>
          </w:tcPr>
          <w:p>
            <w:pPr>
              <w:spacing w:after="50" w:before="50"/>
              <w:jc w:val="left"/>
            </w:pPr>
            <w:r>
              <w:rPr>
                <w:color w:val="333A3F"/>
                <w:sz w:val="18"/>
                <w:szCs w:val="18"/>
              </w:rPr>
              <w:t xml:space="preserve">Yağ yüzeyi soğutulup izole edildi; tam söndürme sağlandı</w:t>
            </w:r>
          </w:p>
        </w:tc>
      </w:tr>
    </w:tbl>
    <w:p>
      <w:pPr>
        <w:spacing w:after="220" w:before="70"/>
      </w:pPr>
      <w:r>
        <w:rPr>
          <w:i/>
          <w:iCs/>
          <w:color w:val="6B7280"/>
          <w:sz w:val="16"/>
          <w:szCs w:val="16"/>
        </w:rPr>
        <w:t xml:space="preserve">Gözlemlenen söndürme süresi aralığı 3–8 saniyedir. Süreler video kaydı üzerinden belirlenmiştir.</w:t>
      </w:r>
    </w:p>
    <w:p>
      <w:pPr>
        <w:spacing w:after="130" w:line="300"/>
        <w:ind w:firstLine="340"/>
        <w:jc w:val="both"/>
      </w:pPr>
      <w:r>
        <w:rPr>
          <w:color w:val="1A1F24"/>
          <w:sz w:val="21"/>
          <w:szCs w:val="21"/>
        </w:rPr>
        <w:t xml:space="preserve">Sınıf bazında değerlendirildiğinde üç bulgu öne çıkmaktadır. </w:t>
      </w:r>
      <w:r>
        <w:rPr>
          <w:b/>
          <w:bCs/>
          <w:color w:val="1A1F24"/>
          <w:sz w:val="21"/>
          <w:szCs w:val="21"/>
        </w:rPr>
        <w:t xml:space="preserve">A sınıfında</w:t>
      </w:r>
      <w:r>
        <w:rPr>
          <w:color w:val="1A1F24"/>
          <w:sz w:val="21"/>
          <w:szCs w:val="21"/>
        </w:rPr>
        <w:t xml:space="preserve"> polyester kumaş sonucu dikkat çekicidir: sentetik liflerin erime ve damlama davranışı söndürmeyi zorlaştırmasına karşın etkili bastırma gözlemlenmiştir. </w:t>
      </w:r>
      <w:r>
        <w:rPr>
          <w:b/>
          <w:bCs/>
          <w:color w:val="1A1F24"/>
          <w:sz w:val="21"/>
          <w:szCs w:val="21"/>
        </w:rPr>
        <w:t xml:space="preserve">B sınıfında</w:t>
      </w:r>
      <w:r>
        <w:rPr>
          <w:color w:val="1A1F24"/>
          <w:sz w:val="21"/>
          <w:szCs w:val="21"/>
        </w:rPr>
        <w:t xml:space="preserve"> tozun sıvı yüzeyinde bir film oluşturarak yayılmayı engellediği görülmüştür; bu davranış, örtü oluşturma mekanizmasının doğrudan gözlemlenebilir bir kanıtıdır. </w:t>
      </w:r>
      <w:r>
        <w:rPr>
          <w:b/>
          <w:bCs/>
          <w:color w:val="1A1F24"/>
          <w:sz w:val="21"/>
          <w:szCs w:val="21"/>
        </w:rPr>
        <w:t xml:space="preserve">F sınıfında</w:t>
      </w:r>
      <w:r>
        <w:rPr>
          <w:color w:val="1A1F24"/>
          <w:sz w:val="21"/>
          <w:szCs w:val="21"/>
        </w:rPr>
        <w:t xml:space="preserve"> ise yağ yüzeyinin soğutulup izole edilmesiyle tam söndürme sağlanmış ve gözlem süresi içinde yeniden tutuşma kaydedilmemiştir.</w:t>
      </w:r>
    </w:p>
    <w:p>
      <w:pPr>
        <w:pStyle w:val="Heading2"/>
        <w:keepNext/>
        <w:spacing w:after="120" w:before="300"/>
      </w:pPr>
      <w:r>
        <w:rPr>
          <w:b/>
          <w:bCs/>
          <w:color w:val="1A7A4A"/>
          <w:sz w:val="22"/>
          <w:szCs w:val="22"/>
        </w:rPr>
        <w:t xml:space="preserve">4.3 Saha ve kurumsal doğrulama</w:t>
      </w:r>
    </w:p>
    <w:p>
      <w:pPr>
        <w:spacing w:after="130" w:line="300"/>
        <w:jc w:val="both"/>
      </w:pPr>
      <w:r>
        <w:rPr>
          <w:color w:val="1A1F24"/>
          <w:sz w:val="21"/>
          <w:szCs w:val="21"/>
        </w:rPr>
        <w:t xml:space="preserve">Laboratuvar bulgularının saha koşullarında da geçerli olup olmadığını sınamak amacıyla, Bursa İtfaiye Arama Kurtarma ve Müdahale Birimleri ile ortak denemeler yürütülmüştür. Bu denemelerde ürün, profesyonel müdahale ekiplerinin gözlemi altında uygulanmış; söndürme süresi, alev yayılım hızı, CO₂ salınımı ve güvenlik etkisi parametreleri değerlendirilmiştir. Tatbikat sahasının daha kapsamlı denemeler için kullanımına ilişkin niyet mektubu görüşmeleri başlatılmıştır.</w:t>
      </w:r>
    </w:p>
    <w:p>
      <w:pPr>
        <w:spacing w:after="130" w:line="300"/>
        <w:ind w:firstLine="340"/>
        <w:jc w:val="both"/>
      </w:pPr>
      <w:r>
        <w:rPr>
          <w:color w:val="1A1F24"/>
          <w:sz w:val="21"/>
          <w:szCs w:val="21"/>
        </w:rPr>
        <w:t xml:space="preserve">Ürün ayrıca iki bağımsız kurumsal değerlendirmeden geçmiştir. Üsküdar Üniversitesi 10. Bilim ve Fikir Festivali'nde sağlık kategorisinde ikincilik ödülü alınmış; T3 Girişim Merkezi DENEYAP Girişim Programı kapsamında iş modeli ve fikri mülkiyet stratejisi değerlendirmesi yapılmıştır. Bu değerlendirmeler bilimsel bir hakemlik süreci yerine geçmemekle birlikte, ürünün laboratuvar dışında da ele alındığını göstermektedir.</w:t>
      </w:r>
    </w:p>
    <w:p>
      <w:pPr>
        <w:pStyle w:val="Heading2"/>
        <w:keepNext/>
        <w:spacing w:after="120" w:before="300"/>
      </w:pPr>
      <w:r>
        <w:rPr>
          <w:b/>
          <w:bCs/>
          <w:color w:val="1A7A4A"/>
          <w:sz w:val="22"/>
          <w:szCs w:val="22"/>
        </w:rPr>
        <w:t xml:space="preserve">4.4 Birim maliyet</w:t>
      </w:r>
    </w:p>
    <w:p>
      <w:pPr>
        <w:spacing w:after="130" w:line="300"/>
        <w:jc w:val="both"/>
      </w:pPr>
      <w:r>
        <w:rPr>
          <w:color w:val="1A1F24"/>
          <w:sz w:val="21"/>
          <w:szCs w:val="21"/>
        </w:rPr>
        <w:t xml:space="preserve">Laboratuvar ölçeğinde hesaplanan birim maliyet 0,0497 TL/g'dır. Piyasa karşılaştırması Tablo 5'te verilmiştir.</w:t>
      </w:r>
    </w:p>
    <w:p>
      <w:pPr>
        <w:keepNext/>
        <w:spacing w:after="90" w:before="200"/>
      </w:pPr>
      <w:r>
        <w:rPr>
          <w:b/>
          <w:bCs/>
          <w:color w:val="0F4A2E"/>
          <w:sz w:val="18"/>
          <w:szCs w:val="18"/>
        </w:rPr>
        <w:t xml:space="preserve">Tablo 5. Birim maliyet ve nitelik karşılaştırması</w:t>
      </w:r>
    </w:p>
    <w:tbl>
      <w:tblPr>
        <w:tblW w:type="dxa" w:w="9020"/>
        <w:tblBorders>
          <w:top w:val="single" w:color="D3DAD6" w:sz="4"/>
          <w:left w:val="single" w:color="D3DAD6" w:sz="4"/>
          <w:bottom w:val="single" w:color="D3DAD6" w:sz="4"/>
          <w:right w:val="single" w:color="D3DAD6" w:sz="4"/>
          <w:insideH w:val="single" w:color="D3DAD6" w:sz="2"/>
          <w:insideV w:val="single" w:color="D3DAD6" w:sz="2"/>
        </w:tblBorders>
      </w:tblPr>
      <w:tblGrid>
        <w:gridCol w:w="2165"/>
        <w:gridCol w:w="2345"/>
        <w:gridCol w:w="2255"/>
        <w:gridCol w:w="2255"/>
      </w:tblGrid>
      <w:tr>
        <w:trPr>
          <w:tblHeader/>
        </w:trPr>
        <w:tc>
          <w:tcPr>
            <w:tcW w:type="dxa" w:w="2165"/>
            <w:shd w:fill="0F4A2E" w:color="auto" w:val="clear"/>
            <w:tcMar>
              <w:top w:type="dxa" w:w="80"/>
              <w:left w:type="dxa" w:w="110"/>
              <w:bottom w:type="dxa" w:w="80"/>
              <w:right w:type="dxa" w:w="110"/>
            </w:tcMar>
            <w:vAlign w:val="center"/>
          </w:tcPr>
          <w:p>
            <w:pPr>
              <w:spacing w:after="50" w:before="50"/>
              <w:jc w:val="left"/>
            </w:pPr>
            <w:r>
              <w:rPr>
                <w:b/>
                <w:bCs/>
                <w:color w:val="FFFFFF"/>
                <w:sz w:val="18"/>
                <w:szCs w:val="18"/>
              </w:rPr>
              <w:t xml:space="preserve">Ölçüt</w:t>
            </w:r>
          </w:p>
        </w:tc>
        <w:tc>
          <w:tcPr>
            <w:tcW w:type="dxa" w:w="2345"/>
            <w:shd w:fill="0F4A2E" w:color="auto" w:val="clear"/>
            <w:tcMar>
              <w:top w:type="dxa" w:w="80"/>
              <w:left w:type="dxa" w:w="110"/>
              <w:bottom w:type="dxa" w:w="80"/>
              <w:right w:type="dxa" w:w="110"/>
            </w:tcMar>
            <w:vAlign w:val="center"/>
          </w:tcPr>
          <w:p>
            <w:pPr>
              <w:spacing w:after="50" w:before="50"/>
              <w:jc w:val="left"/>
            </w:pPr>
            <w:r>
              <w:rPr>
                <w:b/>
                <w:bCs/>
                <w:color w:val="FFFFFF"/>
                <w:sz w:val="18"/>
                <w:szCs w:val="18"/>
              </w:rPr>
              <w:t xml:space="preserve">ExtinGard</w:t>
            </w:r>
          </w:p>
        </w:tc>
        <w:tc>
          <w:tcPr>
            <w:tcW w:type="dxa" w:w="2255"/>
            <w:shd w:fill="0F4A2E" w:color="auto" w:val="clear"/>
            <w:tcMar>
              <w:top w:type="dxa" w:w="80"/>
              <w:left w:type="dxa" w:w="110"/>
              <w:bottom w:type="dxa" w:w="80"/>
              <w:right w:type="dxa" w:w="110"/>
            </w:tcMar>
            <w:vAlign w:val="center"/>
          </w:tcPr>
          <w:p>
            <w:pPr>
              <w:spacing w:after="50" w:before="50"/>
              <w:jc w:val="left"/>
            </w:pPr>
            <w:r>
              <w:rPr>
                <w:b/>
                <w:bCs/>
                <w:color w:val="FFFFFF"/>
                <w:sz w:val="18"/>
                <w:szCs w:val="18"/>
              </w:rPr>
              <w:t xml:space="preserve">BC tozu (NaHCO₃)</w:t>
            </w:r>
          </w:p>
        </w:tc>
        <w:tc>
          <w:tcPr>
            <w:tcW w:type="dxa" w:w="2255"/>
            <w:shd w:fill="0F4A2E" w:color="auto" w:val="clear"/>
            <w:tcMar>
              <w:top w:type="dxa" w:w="80"/>
              <w:left w:type="dxa" w:w="110"/>
              <w:bottom w:type="dxa" w:w="80"/>
              <w:right w:type="dxa" w:w="110"/>
            </w:tcMar>
            <w:vAlign w:val="center"/>
          </w:tcPr>
          <w:p>
            <w:pPr>
              <w:spacing w:after="50" w:before="50"/>
              <w:jc w:val="left"/>
            </w:pPr>
            <w:r>
              <w:rPr>
                <w:b/>
                <w:bCs/>
                <w:color w:val="FFFFFF"/>
                <w:sz w:val="18"/>
                <w:szCs w:val="18"/>
              </w:rPr>
              <w:t xml:space="preserve">ABC tozu (MAP)</w:t>
            </w:r>
          </w:p>
        </w:tc>
      </w:tr>
      <w:tr>
        <w:tc>
          <w:tcPr>
            <w:tcW w:type="dxa" w:w="2165"/>
            <w:shd w:fill="FFFFFF" w:color="auto" w:val="clear"/>
            <w:tcMar>
              <w:top w:type="dxa" w:w="80"/>
              <w:left w:type="dxa" w:w="110"/>
              <w:bottom w:type="dxa" w:w="80"/>
              <w:right w:type="dxa" w:w="110"/>
            </w:tcMar>
            <w:vAlign w:val="top"/>
          </w:tcPr>
          <w:p>
            <w:pPr>
              <w:spacing w:after="50" w:before="50"/>
              <w:jc w:val="left"/>
            </w:pPr>
            <w:r>
              <w:rPr>
                <w:b/>
                <w:bCs/>
                <w:color w:val="333A3F"/>
                <w:sz w:val="18"/>
                <w:szCs w:val="18"/>
              </w:rPr>
              <w:t xml:space="preserve">Etkin yangın sınıfları</w:t>
            </w:r>
          </w:p>
        </w:tc>
        <w:tc>
          <w:tcPr>
            <w:tcW w:type="dxa" w:w="2345"/>
            <w:shd w:fill="FFFFFF"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A, B, C, F</w:t>
            </w:r>
          </w:p>
        </w:tc>
        <w:tc>
          <w:tcPr>
            <w:tcW w:type="dxa" w:w="2255"/>
            <w:shd w:fill="FFFFFF"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B, C</w:t>
            </w:r>
          </w:p>
        </w:tc>
        <w:tc>
          <w:tcPr>
            <w:tcW w:type="dxa" w:w="2255"/>
            <w:shd w:fill="FFFFFF"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A, B, C (F'de etkisiz)</w:t>
            </w:r>
          </w:p>
        </w:tc>
      </w:tr>
      <w:tr>
        <w:tc>
          <w:tcPr>
            <w:tcW w:type="dxa" w:w="2165"/>
            <w:shd w:fill="F2F6F3" w:color="auto" w:val="clear"/>
            <w:tcMar>
              <w:top w:type="dxa" w:w="80"/>
              <w:left w:type="dxa" w:w="110"/>
              <w:bottom w:type="dxa" w:w="80"/>
              <w:right w:type="dxa" w:w="110"/>
            </w:tcMar>
            <w:vAlign w:val="top"/>
          </w:tcPr>
          <w:p>
            <w:pPr>
              <w:spacing w:after="50" w:before="50"/>
              <w:jc w:val="left"/>
            </w:pPr>
            <w:r>
              <w:rPr>
                <w:b/>
                <w:bCs/>
                <w:color w:val="333A3F"/>
                <w:sz w:val="18"/>
                <w:szCs w:val="18"/>
              </w:rPr>
              <w:t xml:space="preserve">Birim maliyet</w:t>
            </w:r>
          </w:p>
        </w:tc>
        <w:tc>
          <w:tcPr>
            <w:tcW w:type="dxa" w:w="2345"/>
            <w:shd w:fill="F2F6F3"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0,0497 TL/g</w:t>
            </w:r>
          </w:p>
        </w:tc>
        <w:tc>
          <w:tcPr>
            <w:tcW w:type="dxa" w:w="2255"/>
            <w:shd w:fill="F2F6F3"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0,12 – 0,15 TL/g</w:t>
            </w:r>
          </w:p>
        </w:tc>
        <w:tc>
          <w:tcPr>
            <w:tcW w:type="dxa" w:w="2255"/>
            <w:shd w:fill="F2F6F3"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0,25 – 0,30 TL/g</w:t>
            </w:r>
          </w:p>
        </w:tc>
      </w:tr>
      <w:tr>
        <w:tc>
          <w:tcPr>
            <w:tcW w:type="dxa" w:w="2165"/>
            <w:shd w:fill="FFFFFF" w:color="auto" w:val="clear"/>
            <w:tcMar>
              <w:top w:type="dxa" w:w="80"/>
              <w:left w:type="dxa" w:w="110"/>
              <w:bottom w:type="dxa" w:w="80"/>
              <w:right w:type="dxa" w:w="110"/>
            </w:tcMar>
            <w:vAlign w:val="top"/>
          </w:tcPr>
          <w:p>
            <w:pPr>
              <w:spacing w:after="50" w:before="50"/>
              <w:jc w:val="left"/>
            </w:pPr>
            <w:r>
              <w:rPr>
                <w:b/>
                <w:bCs/>
                <w:color w:val="333A3F"/>
                <w:sz w:val="18"/>
                <w:szCs w:val="18"/>
              </w:rPr>
              <w:t xml:space="preserve">Göreli maliyet</w:t>
            </w:r>
          </w:p>
        </w:tc>
        <w:tc>
          <w:tcPr>
            <w:tcW w:type="dxa" w:w="2345"/>
            <w:shd w:fill="FFFFFF"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1×</w:t>
            </w:r>
          </w:p>
        </w:tc>
        <w:tc>
          <w:tcPr>
            <w:tcW w:type="dxa" w:w="2255"/>
            <w:shd w:fill="FFFFFF"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 3×</w:t>
            </w:r>
          </w:p>
        </w:tc>
        <w:tc>
          <w:tcPr>
            <w:tcW w:type="dxa" w:w="2255"/>
            <w:shd w:fill="FFFFFF"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 5–6×</w:t>
            </w:r>
          </w:p>
        </w:tc>
      </w:tr>
      <w:tr>
        <w:tc>
          <w:tcPr>
            <w:tcW w:type="dxa" w:w="2165"/>
            <w:shd w:fill="F2F6F3" w:color="auto" w:val="clear"/>
            <w:tcMar>
              <w:top w:type="dxa" w:w="80"/>
              <w:left w:type="dxa" w:w="110"/>
              <w:bottom w:type="dxa" w:w="80"/>
              <w:right w:type="dxa" w:w="110"/>
            </w:tcMar>
            <w:vAlign w:val="top"/>
          </w:tcPr>
          <w:p>
            <w:pPr>
              <w:spacing w:after="50" w:before="50"/>
              <w:jc w:val="left"/>
            </w:pPr>
            <w:r>
              <w:rPr>
                <w:b/>
                <w:bCs/>
                <w:color w:val="333A3F"/>
                <w:sz w:val="18"/>
                <w:szCs w:val="18"/>
              </w:rPr>
              <w:t xml:space="preserve">Kalıntı</w:t>
            </w:r>
          </w:p>
        </w:tc>
        <w:tc>
          <w:tcPr>
            <w:tcW w:type="dxa" w:w="2345"/>
            <w:shd w:fill="F2F6F3"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Biyobozunur, kalıntı bırakmaz</w:t>
            </w:r>
          </w:p>
        </w:tc>
        <w:tc>
          <w:tcPr>
            <w:tcW w:type="dxa" w:w="2255"/>
            <w:shd w:fill="F2F6F3"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Zararlı kalıntı</w:t>
            </w:r>
          </w:p>
        </w:tc>
        <w:tc>
          <w:tcPr>
            <w:tcW w:type="dxa" w:w="2255"/>
            <w:shd w:fill="F2F6F3"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Toprak ve suya zararlı kalıntı</w:t>
            </w:r>
          </w:p>
        </w:tc>
      </w:tr>
      <w:tr>
        <w:tc>
          <w:tcPr>
            <w:tcW w:type="dxa" w:w="2165"/>
            <w:shd w:fill="FFFFFF" w:color="auto" w:val="clear"/>
            <w:tcMar>
              <w:top w:type="dxa" w:w="80"/>
              <w:left w:type="dxa" w:w="110"/>
              <w:bottom w:type="dxa" w:w="80"/>
              <w:right w:type="dxa" w:w="110"/>
            </w:tcMar>
            <w:vAlign w:val="top"/>
          </w:tcPr>
          <w:p>
            <w:pPr>
              <w:spacing w:after="50" w:before="50"/>
              <w:jc w:val="left"/>
            </w:pPr>
            <w:r>
              <w:rPr>
                <w:b/>
                <w:bCs/>
                <w:color w:val="333A3F"/>
                <w:sz w:val="18"/>
                <w:szCs w:val="18"/>
              </w:rPr>
              <w:t xml:space="preserve">Sağlık etkisi</w:t>
            </w:r>
          </w:p>
        </w:tc>
        <w:tc>
          <w:tcPr>
            <w:tcW w:type="dxa" w:w="2345"/>
            <w:shd w:fill="FFFFFF"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Toksik gaz salmaz</w:t>
            </w:r>
          </w:p>
        </w:tc>
        <w:tc>
          <w:tcPr>
            <w:tcW w:type="dxa" w:w="2255"/>
            <w:shd w:fill="FFFFFF"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Solunum ve cilt tahrişi</w:t>
            </w:r>
          </w:p>
        </w:tc>
        <w:tc>
          <w:tcPr>
            <w:tcW w:type="dxa" w:w="2255"/>
            <w:shd w:fill="FFFFFF"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Solunum ve cilt tahrişi</w:t>
            </w:r>
          </w:p>
        </w:tc>
      </w:tr>
      <w:tr>
        <w:tc>
          <w:tcPr>
            <w:tcW w:type="dxa" w:w="2165"/>
            <w:shd w:fill="F2F6F3" w:color="auto" w:val="clear"/>
            <w:tcMar>
              <w:top w:type="dxa" w:w="80"/>
              <w:left w:type="dxa" w:w="110"/>
              <w:bottom w:type="dxa" w:w="80"/>
              <w:right w:type="dxa" w:w="110"/>
            </w:tcMar>
            <w:vAlign w:val="top"/>
          </w:tcPr>
          <w:p>
            <w:pPr>
              <w:spacing w:after="50" w:before="50"/>
              <w:jc w:val="left"/>
            </w:pPr>
            <w:r>
              <w:rPr>
                <w:b/>
                <w:bCs/>
                <w:color w:val="333A3F"/>
                <w:sz w:val="18"/>
                <w:szCs w:val="18"/>
              </w:rPr>
              <w:t xml:space="preserve">Hammadde kaynağı</w:t>
            </w:r>
          </w:p>
        </w:tc>
        <w:tc>
          <w:tcPr>
            <w:tcW w:type="dxa" w:w="2345"/>
            <w:shd w:fill="F2F6F3"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%100 yerli, biyo-atık</w:t>
            </w:r>
          </w:p>
        </w:tc>
        <w:tc>
          <w:tcPr>
            <w:tcW w:type="dxa" w:w="2255"/>
            <w:shd w:fill="F2F6F3"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Büyük ölçüde ithal</w:t>
            </w:r>
          </w:p>
        </w:tc>
        <w:tc>
          <w:tcPr>
            <w:tcW w:type="dxa" w:w="2255"/>
            <w:shd w:fill="F2F6F3"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Büyük ölçüde ithal</w:t>
            </w:r>
          </w:p>
        </w:tc>
      </w:tr>
    </w:tbl>
    <w:p>
      <w:pPr>
        <w:spacing w:after="220" w:before="70"/>
      </w:pPr>
      <w:r>
        <w:rPr>
          <w:i/>
          <w:iCs/>
          <w:color w:val="6B7280"/>
          <w:sz w:val="16"/>
          <w:szCs w:val="16"/>
        </w:rPr>
        <w:t xml:space="preserve">Maliyet değerleri laboratuvar ölçeğine ve karşılaştırma döneminin piyasa fiyatlarına aittir.</w:t>
      </w:r>
    </w:p>
    <w:p>
      <w:pPr>
        <w:spacing w:after="130" w:line="300"/>
        <w:ind w:firstLine="340"/>
        <w:jc w:val="both"/>
      </w:pPr>
      <w:r>
        <w:rPr>
          <w:color w:val="1A1F24"/>
          <w:sz w:val="21"/>
          <w:szCs w:val="21"/>
        </w:rPr>
        <w:t xml:space="preserve">Yıllık 1 ton tüketim varsayımı altında ve ABC tozu aralığının orta değeri (0,275 TL/g) esas alındığında, ABC tozuna kıyasla yaklaşık 225.000 TL'lik (yaklaşık %82) bir tasarruf hesaplanmaktadır. Bu tasarrufun pratik anlamı fiyattan çok </w:t>
      </w:r>
      <w:r>
        <w:rPr>
          <w:b/>
          <w:bCs/>
          <w:color w:val="1A1F24"/>
          <w:sz w:val="21"/>
          <w:szCs w:val="21"/>
        </w:rPr>
        <w:t xml:space="preserve">erişilebilirliktir</w:t>
      </w:r>
      <w:r>
        <w:rPr>
          <w:color w:val="1A1F24"/>
          <w:sz w:val="21"/>
          <w:szCs w:val="21"/>
        </w:rPr>
        <w:t xml:space="preserve">: büyük hacimli stoklama gerektiren kamu kurumları ve belediyeler için ekonomik eşik belirgin biçimde düşmektedir. Hammaddenin yurt içinden temin edilmesi ayrıca kur dalgalanmalarına bağlı maliyet riskini ortadan kaldırmaktadır.</w:t>
      </w:r>
    </w:p>
    <w:p>
      <w:pPr>
        <w:pStyle w:val="Heading1"/>
        <w:keepNext/>
        <w:spacing w:after="160" w:before="400"/>
      </w:pPr>
      <w:r>
        <w:rPr>
          <w:b/>
          <w:bCs/>
          <w:color w:val="0F4A2E"/>
          <w:sz w:val="25"/>
          <w:szCs w:val="25"/>
        </w:rPr>
        <w:t xml:space="preserve">5. Tartışma</w:t>
      </w:r>
    </w:p>
    <w:p>
      <w:pPr>
        <w:pStyle w:val="Heading2"/>
        <w:keepNext/>
        <w:spacing w:after="120" w:before="300"/>
      </w:pPr>
      <w:r>
        <w:rPr>
          <w:b/>
          <w:bCs/>
          <w:color w:val="1A7A4A"/>
          <w:sz w:val="22"/>
          <w:szCs w:val="22"/>
        </w:rPr>
        <w:t xml:space="preserve">5.1 Kademeli aktivasyonun işlevsel anlamı</w:t>
      </w:r>
    </w:p>
    <w:p>
      <w:pPr>
        <w:spacing w:after="130" w:line="300"/>
        <w:jc w:val="both"/>
      </w:pPr>
      <w:r>
        <w:rPr>
          <w:color w:val="1A1F24"/>
          <w:sz w:val="21"/>
          <w:szCs w:val="21"/>
        </w:rPr>
        <w:t xml:space="preserve">Bulguların en belirleyici yanı, tekil bileşenlerin performansı değil bileşimin </w:t>
      </w:r>
      <w:r>
        <w:rPr>
          <w:b/>
          <w:bCs/>
          <w:color w:val="1A1F24"/>
          <w:sz w:val="21"/>
          <w:szCs w:val="21"/>
        </w:rPr>
        <w:t xml:space="preserve">sıcaklığa yayılmış</w:t>
      </w:r>
      <w:r>
        <w:rPr>
          <w:color w:val="1A1F24"/>
          <w:sz w:val="21"/>
          <w:szCs w:val="21"/>
        </w:rPr>
        <w:t xml:space="preserve"> davranışıdır. Tek bir endotermik bileşen içeren bir toz, aktivasyon sıcaklığına ulaşıldığında ısı çeker; ancak bu etki kısa sürede tükenir ve sıcaklık yeniden yükselirse söndürücü etkisiz kalır. Tablo 3'teki dört basamaklı dizilim bu sınırlılığı ortadan kaldırmayı amaçlamaktadır: bir bileşen tükenirken bir sonraki devreye girmektedir.</w:t>
      </w:r>
    </w:p>
    <w:p>
      <w:pPr>
        <w:spacing w:after="130" w:line="300"/>
        <w:ind w:firstLine="340"/>
        <w:jc w:val="both"/>
      </w:pPr>
      <w:r>
        <w:rPr>
          <w:color w:val="1A1F24"/>
          <w:sz w:val="21"/>
          <w:szCs w:val="21"/>
        </w:rPr>
        <w:t xml:space="preserve">Bununla birlikte, bu mekanizma içinde bileşenlerin katkısının eşit olmadığını kabul etmek gerekir. CaCO₃'ün bozunma sıcaklığı olan ~840 °C, birçok A sınıfı yangının toz uygulanan bölgesinde ulaşılan sıcaklığın üzerindedir. Dolayısıyla oksijen seyreltme mekanizmasının katkısının, yüksek sıcaklıklı bölgelerde ve gelişmiş yangınlarda belirginleşmesi; düşük ve orta sıcaklıklı koşullarda ise baskın etkinin Al(OH)₃ ve Mg(OH)₂ kaynaklı soğutma ile örtü oluşumundan gelmesi beklenmektedir. Bu ayrımın deneysel olarak ölçülmesi, çalışmanın devamı için öncelikli bir başlıktır.</w:t>
      </w:r>
    </w:p>
    <w:p>
      <w:pPr>
        <w:pStyle w:val="Heading2"/>
        <w:keepNext/>
        <w:spacing w:after="120" w:before="300"/>
      </w:pPr>
      <w:r>
        <w:rPr>
          <w:b/>
          <w:bCs/>
          <w:color w:val="1A7A4A"/>
          <w:sz w:val="22"/>
          <w:szCs w:val="22"/>
        </w:rPr>
        <w:t xml:space="preserve">5.2 F sınıfı bulgusunun önemi</w:t>
      </w:r>
    </w:p>
    <w:p>
      <w:pPr>
        <w:spacing w:after="130" w:line="300"/>
        <w:jc w:val="both"/>
      </w:pPr>
      <w:r>
        <w:rPr>
          <w:color w:val="1A1F24"/>
          <w:sz w:val="21"/>
          <w:szCs w:val="21"/>
        </w:rPr>
        <w:t xml:space="preserve">Çalışmanın uygulama açısından en değerli bulgusu, F sınıfı yangınlarda elde edilen sonuçtur. Piyasada en yaygın kullanılan ABC tozu bu sınıfta etkili değildir; kızgın bitkisel yağ üzerinde yeterli soğutma sağlanamadığı için toz uygulandıktan sonra yeniden tutuşma sıkça görülür. ExtinGard'da gözlemlenen davranış — yağ yüzeyinin soğutulması ve üzerinde bir örtü oluşması — iki mekanizmanın birlikte çalışmasının doğrudan sonucudur.</w:t>
      </w:r>
    </w:p>
    <w:p>
      <w:pPr>
        <w:spacing w:after="130" w:line="300"/>
        <w:ind w:firstLine="340"/>
        <w:jc w:val="both"/>
      </w:pPr>
      <w:r>
        <w:rPr>
          <w:color w:val="1A1F24"/>
          <w:sz w:val="21"/>
          <w:szCs w:val="21"/>
        </w:rPr>
        <w:t xml:space="preserve">Bu bulgunun pratik karşılığı büyüktür: mutfak yangınları, konut ve ticari yangın istatistiklerinde önemli bir paya sahiptir ve mevcut genel amaçlı söndürücülerle karşılanamayan bir boşluk oluşturmaktadır. Tek bir söndürücünün A, B, C ve F sınıflarını birlikte kapsaması, özellikle konut ve toplu kullanım alanlarında ekipman çeşitliliğini azaltma potansiyeli taşımaktadır. Ancak bu potansiyelin ticari bir iddiaya dönüşebilmesi, Bölüm 5.5'te belirtilen standart testlerin tamamlanmasına bağlıdır.</w:t>
      </w:r>
    </w:p>
    <w:p>
      <w:pPr>
        <w:pStyle w:val="Heading2"/>
        <w:keepNext/>
        <w:spacing w:after="120" w:before="300"/>
      </w:pPr>
      <w:r>
        <w:rPr>
          <w:b/>
          <w:bCs/>
          <w:color w:val="1A7A4A"/>
          <w:sz w:val="22"/>
          <w:szCs w:val="22"/>
        </w:rPr>
        <w:t xml:space="preserve">5.3 Çevresel ve sağlık boyutu</w:t>
      </w:r>
    </w:p>
    <w:p>
      <w:pPr>
        <w:spacing w:after="130" w:line="300"/>
        <w:jc w:val="both"/>
      </w:pPr>
      <w:r>
        <w:rPr>
          <w:color w:val="1A1F24"/>
          <w:sz w:val="21"/>
          <w:szCs w:val="21"/>
        </w:rPr>
        <w:t xml:space="preserve">Bileşimde yer alan maddelerin tamamı doğal kaynaklıdır ve formülasyonda PFAS veya halojenli bileşen bulunmamaktadır. Bozunma ürünleri (Al₂O₃, MgO, CaO, CO₂ ve su buharı) bilinen ve toksik olmayan maddelerdir; bu nedenle kapalı hacimlerde kullanım açısından halojenli ve yüksek derişimli CO₂ sistemlerine göre daha elverişli bir profil beklenmektedir.</w:t>
      </w:r>
    </w:p>
    <w:p>
      <w:pPr>
        <w:spacing w:after="130" w:line="300"/>
        <w:ind w:firstLine="340"/>
        <w:jc w:val="both"/>
      </w:pPr>
      <w:r>
        <w:rPr>
          <w:color w:val="1A1F24"/>
          <w:sz w:val="21"/>
          <w:szCs w:val="21"/>
        </w:rPr>
        <w:t xml:space="preserve">Söndürme sonrası kalıntı açısından da fark anlamlıdır. Monoamonyum fosfat esaslı tozlar nemle birleştiğinde metal yüzeylerde korozyona yol açabilen asidik bir kalıntı bırakır; bu kalıntının temizlenmesi çoğu zaman yangının kendisinden daha maliyetli olabilmektedir. ExtinGard'ın kalıntısı ise mineral yapıdadır ve toprakta doğal olarak bulunan bileşiklerden oluşur.</w:t>
      </w:r>
    </w:p>
    <w:tbl>
      <w:tblPr>
        <w:tblW w:type="dxa" w:w="9020"/>
        <w:tblBorders>
          <w:top w:val="single" w:color="D3DAD6" w:sz="2"/>
          <w:left w:val="single" w:color="D89A22" w:sz="18"/>
          <w:bottom w:val="single" w:color="D3DAD6" w:sz="2"/>
          <w:right w:val="single" w:color="D3DAD6" w:sz="2"/>
          <w:insideH w:val="none"/>
          <w:insideV w:val="none"/>
        </w:tblBorders>
      </w:tblPr>
      <w:tblGrid>
        <w:gridCol w:w="9020"/>
      </w:tblGrid>
      <w:tr>
        <w:tc>
          <w:tcPr>
            <w:tcW w:type="dxa" w:w="9020"/>
            <w:shd w:fill="FFF8EC" w:color="auto" w:val="clear"/>
            <w:tcMar>
              <w:top w:type="dxa" w:w="150"/>
              <w:left w:type="dxa" w:w="190"/>
              <w:bottom w:type="dxa" w:w="150"/>
              <w:right w:type="dxa" w:w="160"/>
            </w:tcMar>
          </w:tcPr>
          <w:p>
            <w:pPr>
              <w:spacing w:after="60"/>
            </w:pPr>
            <w:r>
              <w:rPr>
                <w:b/>
                <w:bCs/>
                <w:color w:val="B4610D"/>
                <w:sz w:val="16"/>
                <w:szCs w:val="16"/>
              </w:rPr>
              <w:t xml:space="preserve">KANIT DÜZEYİNE İLİŞKİN UYARI</w:t>
            </w:r>
          </w:p>
          <w:p>
            <w:pPr>
              <w:spacing w:after="0" w:line="276"/>
              <w:jc w:val="both"/>
            </w:pPr>
            <w:r>
              <w:rPr>
                <w:color w:val="333A3F"/>
                <w:sz w:val="19"/>
                <w:szCs w:val="19"/>
              </w:rPr>
              <w:t xml:space="preserve">Bu bölümdeki çevresel ve sağlık değerlendirmeleri </w:t>
            </w:r>
            <w:r>
              <w:rPr>
                <w:b/>
                <w:bCs/>
                <w:color w:val="333A3F"/>
                <w:sz w:val="19"/>
                <w:szCs w:val="19"/>
              </w:rPr>
              <w:t xml:space="preserve">bileşim muhakemesine</w:t>
            </w:r>
            <w:r>
              <w:rPr>
                <w:color w:val="333A3F"/>
                <w:sz w:val="19"/>
                <w:szCs w:val="19"/>
              </w:rPr>
              <w:t xml:space="preserve"> dayanmaktadır; bağımsız ekotoksikoloji, solunabilir toz maruziyeti veya biyobozunurluk testleriyle doğrulanmamıştır. "Biyobozunur" ve "zararsız" nitelemeleri, ilgili standart testler tamamlanana dek tasarım hedefi olarak okunmalıdır.</w:t>
            </w:r>
          </w:p>
        </w:tc>
      </w:tr>
    </w:tbl>
    <w:p>
      <w:pPr>
        <w:spacing w:after="200"/>
      </w:pPr>
    </w:p>
    <w:p>
      <w:pPr>
        <w:pStyle w:val="Heading2"/>
        <w:keepNext/>
        <w:spacing w:after="120" w:before="300"/>
      </w:pPr>
      <w:r>
        <w:rPr>
          <w:b/>
          <w:bCs/>
          <w:color w:val="1A7A4A"/>
          <w:sz w:val="22"/>
          <w:szCs w:val="22"/>
        </w:rPr>
        <w:t xml:space="preserve">5.4 Ekonomik erişilebilirlik</w:t>
      </w:r>
    </w:p>
    <w:p>
      <w:pPr>
        <w:spacing w:after="130" w:line="300"/>
        <w:jc w:val="both"/>
      </w:pPr>
      <w:r>
        <w:rPr>
          <w:color w:val="1A1F24"/>
          <w:sz w:val="21"/>
          <w:szCs w:val="21"/>
        </w:rPr>
        <w:t xml:space="preserve">Yangın güvenliği ekipmanının yaygınlaşmasının önündeki engel çoğu zaman teknik değil ekonomiktir. Tablo 5'te görülen 5–6 katlık maliyet farkı, aynı bütçeyle kaç katı stok tutulabileceğini belirlemektedir. Kamu kurumları ve belediyeler açısından bu, büyük ölçekli afet hazırlığının bütçe içinde kalabilmesi anlamına gelir. Hammaddenin bir atık akışından gelmesi, maliyet avantajının fiyat dalgalanmalarına karşı da görece korunaklı olmasını sağlamaktadır.</w:t>
      </w:r>
    </w:p>
    <w:p>
      <w:pPr>
        <w:pStyle w:val="Heading2"/>
        <w:keepNext/>
        <w:spacing w:after="120" w:before="300"/>
      </w:pPr>
      <w:r>
        <w:rPr>
          <w:b/>
          <w:bCs/>
          <w:color w:val="1A7A4A"/>
          <w:sz w:val="22"/>
          <w:szCs w:val="22"/>
        </w:rPr>
        <w:t xml:space="preserve">5.5 Çalışmanın sınırlılıkları</w:t>
      </w:r>
    </w:p>
    <w:p>
      <w:pPr>
        <w:spacing w:after="130" w:line="300"/>
        <w:jc w:val="both"/>
      </w:pPr>
      <w:r>
        <w:rPr>
          <w:color w:val="1A1F24"/>
          <w:sz w:val="21"/>
          <w:szCs w:val="21"/>
        </w:rPr>
        <w:t xml:space="preserve">Bulguların doğru yorumlanabilmesi için aşağıdaki sınırlılıkların birlikte değerlendirilmesi gerekmektedir:</w:t>
      </w:r>
    </w:p>
    <w:p>
      <w:pPr>
        <w:pStyle w:val="ListParagraph"/>
        <w:numPr>
          <w:ilvl w:val="0"/>
          <w:numId w:val="3"/>
        </w:numPr>
        <w:spacing w:after="70" w:line="288"/>
      </w:pPr>
      <w:r>
        <w:rPr>
          <w:b/>
          <w:bCs/>
          <w:color w:val="1A1F24"/>
          <w:sz w:val="21"/>
          <w:szCs w:val="21"/>
        </w:rPr>
        <w:t xml:space="preserve">Akredite standart testi yapılmamıştır.</w:t>
      </w:r>
      <w:r>
        <w:rPr>
          <w:color w:val="1A1F24"/>
          <w:sz w:val="21"/>
          <w:szCs w:val="21"/>
        </w:rPr>
        <w:t xml:space="preserve"> Deneyler TS EN 615 veya TS EN 3 kapsamındaki standart yangın ocakları ve prosedürleri kullanılarak yürütülmemiştir. Bu nedenle ürüne herhangi bir yangın derecesi (21A, 113B vb.) atfedilememektedir.</w:t>
      </w:r>
    </w:p>
    <w:p>
      <w:pPr>
        <w:pStyle w:val="ListParagraph"/>
        <w:numPr>
          <w:ilvl w:val="0"/>
          <w:numId w:val="3"/>
        </w:numPr>
        <w:spacing w:after="70" w:line="288"/>
      </w:pPr>
      <w:r>
        <w:rPr>
          <w:b/>
          <w:bCs/>
          <w:color w:val="1A1F24"/>
          <w:sz w:val="21"/>
          <w:szCs w:val="21"/>
        </w:rPr>
        <w:t xml:space="preserve">Karışımın termal davranışı ölçülmemiştir.</w:t>
      </w:r>
      <w:r>
        <w:rPr>
          <w:color w:val="1A1F24"/>
          <w:sz w:val="21"/>
          <w:szCs w:val="21"/>
        </w:rPr>
        <w:t xml:space="preserve"> Tablo 3'teki bozunma sıcaklıkları ve entalpi değerleri saf bileşiklere ait yazın değerleridir. Karışım içindeki etkileşimler başlangıç sıcaklıklarını kaydırabilir. Termogravimetrik analiz (TGA) ve diferansiyel taramalı kalorimetri (DSC) ile doğrulama yapılmamıştır.</w:t>
      </w:r>
    </w:p>
    <w:p>
      <w:pPr>
        <w:pStyle w:val="ListParagraph"/>
        <w:numPr>
          <w:ilvl w:val="0"/>
          <w:numId w:val="3"/>
        </w:numPr>
        <w:spacing w:after="70" w:line="288"/>
      </w:pPr>
      <w:r>
        <w:rPr>
          <w:b/>
          <w:bCs/>
          <w:color w:val="1A1F24"/>
          <w:sz w:val="21"/>
          <w:szCs w:val="21"/>
        </w:rPr>
        <w:t xml:space="preserve">Isı salım hızı ölçülmemiştir.</w:t>
      </w:r>
      <w:r>
        <w:rPr>
          <w:color w:val="1A1F24"/>
          <w:sz w:val="21"/>
          <w:szCs w:val="21"/>
        </w:rPr>
        <w:t xml:space="preserve"> Söndürme süreleri kronometre ve video kaydı üzerinden belirlenmiştir; kalorimetrik bir ölçüm yapılmamıştır.</w:t>
      </w:r>
    </w:p>
    <w:p>
      <w:pPr>
        <w:pStyle w:val="ListParagraph"/>
        <w:numPr>
          <w:ilvl w:val="0"/>
          <w:numId w:val="3"/>
        </w:numPr>
        <w:spacing w:after="70" w:line="288"/>
      </w:pPr>
      <w:r>
        <w:rPr>
          <w:b/>
          <w:bCs/>
          <w:color w:val="1A1F24"/>
          <w:sz w:val="21"/>
          <w:szCs w:val="21"/>
        </w:rPr>
        <w:t xml:space="preserve">Tekrar sayısı sınırlıdır ve istatistiksel analiz yapılmamıştır.</w:t>
      </w:r>
      <w:r>
        <w:rPr>
          <w:color w:val="1A1F24"/>
          <w:sz w:val="21"/>
          <w:szCs w:val="21"/>
        </w:rPr>
        <w:t xml:space="preserve"> Her malzeme için deney birden fazla kez tekrarlanmış olmakla birlikte, örneklem büyüklüğü güven aralığı hesaplamaya elverecek düzeyde değildir.</w:t>
      </w:r>
    </w:p>
    <w:p>
      <w:pPr>
        <w:pStyle w:val="ListParagraph"/>
        <w:numPr>
          <w:ilvl w:val="0"/>
          <w:numId w:val="3"/>
        </w:numPr>
        <w:spacing w:after="70" w:line="288"/>
      </w:pPr>
      <w:r>
        <w:rPr>
          <w:b/>
          <w:bCs/>
          <w:color w:val="1A1F24"/>
          <w:sz w:val="21"/>
          <w:szCs w:val="21"/>
        </w:rPr>
        <w:t xml:space="preserve">Deneyler küçük ölçeklidir.</w:t>
      </w:r>
      <w:r>
        <w:rPr>
          <w:color w:val="1A1F24"/>
          <w:sz w:val="21"/>
          <w:szCs w:val="21"/>
        </w:rPr>
        <w:t xml:space="preserve"> Denemeler laboratuvar ve tepsi ölçeğinde yürütülmüştür; ölçek büyüdüğünde söndürme davranışının nasıl değişeceği incelenmemiştir.</w:t>
      </w:r>
    </w:p>
    <w:p>
      <w:pPr>
        <w:pStyle w:val="ListParagraph"/>
        <w:numPr>
          <w:ilvl w:val="0"/>
          <w:numId w:val="3"/>
        </w:numPr>
        <w:spacing w:after="70" w:line="288"/>
      </w:pPr>
      <w:r>
        <w:rPr>
          <w:b/>
          <w:bCs/>
          <w:color w:val="1A1F24"/>
          <w:sz w:val="21"/>
          <w:szCs w:val="21"/>
        </w:rPr>
        <w:t xml:space="preserve">Yeniden tutuşma dayanımı nicelleştirilmemiştir.</w:t>
      </w:r>
      <w:r>
        <w:rPr>
          <w:color w:val="1A1F24"/>
          <w:sz w:val="21"/>
          <w:szCs w:val="21"/>
        </w:rPr>
        <w:t xml:space="preserve"> Gözlem, sınırlı bir süre boyunca yapılmıştır; standart geri-yanma (burn-back) direnci ölçülmemiştir.</w:t>
      </w:r>
    </w:p>
    <w:p>
      <w:pPr>
        <w:pStyle w:val="ListParagraph"/>
        <w:numPr>
          <w:ilvl w:val="0"/>
          <w:numId w:val="3"/>
        </w:numPr>
        <w:spacing w:after="70" w:line="288"/>
      </w:pPr>
      <w:r>
        <w:rPr>
          <w:b/>
          <w:bCs/>
          <w:color w:val="1A1F24"/>
          <w:sz w:val="21"/>
          <w:szCs w:val="21"/>
        </w:rPr>
        <w:t xml:space="preserve">Tozun fiziksel nitelikleri karakterize edilmemiştir.</w:t>
      </w:r>
      <w:r>
        <w:rPr>
          <w:color w:val="1A1F24"/>
          <w:sz w:val="21"/>
          <w:szCs w:val="21"/>
        </w:rPr>
        <w:t xml:space="preserve"> Tanecik boyut dağılımı, yığın yoğunluğu, akışkanlık, nem alma davranışı, raf ömrü ve basınçlı söndürme cihazı donanımıyla uyumluluk henüz ölçülmemiştir. Bir tozun tepsi denemesinde etkili olması, söndürme cihazından düzgün biçimde boşalacağını kendiliğinden göstermez.</w:t>
      </w:r>
    </w:p>
    <w:p>
      <w:pPr>
        <w:pStyle w:val="ListParagraph"/>
        <w:numPr>
          <w:ilvl w:val="0"/>
          <w:numId w:val="3"/>
        </w:numPr>
        <w:spacing w:after="70" w:line="288"/>
      </w:pPr>
      <w:r>
        <w:rPr>
          <w:b/>
          <w:bCs/>
          <w:color w:val="1A1F24"/>
          <w:sz w:val="21"/>
          <w:szCs w:val="21"/>
        </w:rPr>
        <w:t xml:space="preserve">Çevresel iddialar test edilmemiştir.</w:t>
      </w:r>
      <w:r>
        <w:rPr>
          <w:color w:val="1A1F24"/>
          <w:sz w:val="21"/>
          <w:szCs w:val="21"/>
        </w:rPr>
        <w:t xml:space="preserve"> Biyobozunurluk ve ekotoksikoloji değerlendirmesi yapılmamıştır (bkz. Bölüm 5.3).</w:t>
      </w:r>
    </w:p>
    <w:p>
      <w:pPr>
        <w:pStyle w:val="ListParagraph"/>
        <w:numPr>
          <w:ilvl w:val="0"/>
          <w:numId w:val="3"/>
        </w:numPr>
        <w:spacing w:after="70" w:line="288"/>
      </w:pPr>
      <w:r>
        <w:rPr>
          <w:b/>
          <w:bCs/>
          <w:color w:val="1A1F24"/>
          <w:sz w:val="21"/>
          <w:szCs w:val="21"/>
        </w:rPr>
        <w:t xml:space="preserve">Maliyet hesabı laboratuvar ölçeğine aittir.</w:t>
      </w:r>
      <w:r>
        <w:rPr>
          <w:color w:val="1A1F24"/>
          <w:sz w:val="21"/>
          <w:szCs w:val="21"/>
        </w:rPr>
        <w:t xml:space="preserve"> Endüstriyel üretimde işçilik, enerji, ambalaj, kalite kontrol ve dağıtım kalemleri birim maliyeti yükseltecektir; buna karşılık ölçek ekonomisi hammadde maliyetini düşürebilir. Net etki hesaplanmamıştır.</w:t>
      </w:r>
    </w:p>
    <w:p>
      <w:pPr>
        <w:spacing w:after="80"/>
      </w:pPr>
    </w:p>
    <w:p>
      <w:pPr>
        <w:spacing w:after="130" w:line="300"/>
        <w:ind w:firstLine="340"/>
        <w:jc w:val="both"/>
      </w:pPr>
      <w:r>
        <w:rPr>
          <w:color w:val="1A1F24"/>
          <w:sz w:val="21"/>
          <w:szCs w:val="21"/>
        </w:rPr>
        <w:t xml:space="preserve">Bu sınırlılıklar bulguları geçersiz kılmamakta; ancak onların </w:t>
      </w:r>
      <w:r>
        <w:rPr>
          <w:b/>
          <w:bCs/>
          <w:color w:val="1A1F24"/>
          <w:sz w:val="21"/>
          <w:szCs w:val="21"/>
        </w:rPr>
        <w:t xml:space="preserve">ön doğrulama</w:t>
      </w:r>
      <w:r>
        <w:rPr>
          <w:color w:val="1A1F24"/>
          <w:sz w:val="21"/>
          <w:szCs w:val="21"/>
        </w:rPr>
        <w:t xml:space="preserve"> niteliğini açıkça ortaya koymaktadır. Yedi malzemenin tamamında gözlemlenen tam söndürme, bileşimin işlediğine dair tutarlı bir gösterge sunmakta, fakat ölçülebilir ve karşılaştırılabilir bir performans iddiası için standart testler zorunludur.</w:t>
      </w:r>
    </w:p>
    <w:p>
      <w:pPr>
        <w:pStyle w:val="Heading1"/>
        <w:keepNext/>
        <w:spacing w:after="160" w:before="400"/>
      </w:pPr>
      <w:r>
        <w:rPr>
          <w:b/>
          <w:bCs/>
          <w:color w:val="0F4A2E"/>
          <w:sz w:val="25"/>
          <w:szCs w:val="25"/>
        </w:rPr>
        <w:t xml:space="preserve">6. Fikri Mülkiyet Durumu</w:t>
      </w:r>
    </w:p>
    <w:p>
      <w:pPr>
        <w:spacing w:after="130" w:line="300"/>
        <w:jc w:val="both"/>
      </w:pPr>
      <w:r>
        <w:rPr>
          <w:color w:val="1A1F24"/>
          <w:sz w:val="21"/>
          <w:szCs w:val="21"/>
        </w:rPr>
        <w:t xml:space="preserve">Çalışmanın çıktıları Türk Patent ve Marka Kurumu nezdinde iki ayrı başlıkta koruma altına alınmıştır.</w:t>
      </w:r>
    </w:p>
    <w:p>
      <w:pPr>
        <w:keepNext/>
        <w:spacing w:after="90" w:before="200"/>
      </w:pPr>
      <w:r>
        <w:rPr>
          <w:b/>
          <w:bCs/>
          <w:color w:val="0F4A2E"/>
          <w:sz w:val="18"/>
          <w:szCs w:val="18"/>
        </w:rPr>
        <w:t xml:space="preserve">Tablo 6. Fikri mülkiyet kayıtları</w:t>
      </w:r>
    </w:p>
    <w:tbl>
      <w:tblPr>
        <w:tblW w:type="dxa" w:w="9020"/>
        <w:tblBorders>
          <w:top w:val="single" w:color="D3DAD6" w:sz="4"/>
          <w:left w:val="single" w:color="D3DAD6" w:sz="4"/>
          <w:bottom w:val="single" w:color="D3DAD6" w:sz="4"/>
          <w:right w:val="single" w:color="D3DAD6" w:sz="4"/>
          <w:insideH w:val="single" w:color="D3DAD6" w:sz="2"/>
          <w:insideV w:val="single" w:color="D3DAD6" w:sz="2"/>
        </w:tblBorders>
      </w:tblPr>
      <w:tblGrid>
        <w:gridCol w:w="2165"/>
        <w:gridCol w:w="3428"/>
        <w:gridCol w:w="3427"/>
      </w:tblGrid>
      <w:tr>
        <w:trPr>
          <w:tblHeader/>
        </w:trPr>
        <w:tc>
          <w:tcPr>
            <w:tcW w:type="dxa" w:w="2165"/>
            <w:shd w:fill="0F4A2E" w:color="auto" w:val="clear"/>
            <w:tcMar>
              <w:top w:type="dxa" w:w="80"/>
              <w:left w:type="dxa" w:w="110"/>
              <w:bottom w:type="dxa" w:w="80"/>
              <w:right w:type="dxa" w:w="110"/>
            </w:tcMar>
            <w:vAlign w:val="center"/>
          </w:tcPr>
          <w:p>
            <w:pPr>
              <w:spacing w:after="50" w:before="50"/>
              <w:jc w:val="left"/>
            </w:pPr>
            <w:r>
              <w:rPr>
                <w:b/>
                <w:bCs/>
                <w:color w:val="FFFFFF"/>
                <w:sz w:val="18"/>
                <w:szCs w:val="18"/>
              </w:rPr>
              <w:t xml:space="preserve"/>
            </w:r>
          </w:p>
        </w:tc>
        <w:tc>
          <w:tcPr>
            <w:tcW w:type="dxa" w:w="3428"/>
            <w:shd w:fill="0F4A2E" w:color="auto" w:val="clear"/>
            <w:tcMar>
              <w:top w:type="dxa" w:w="80"/>
              <w:left w:type="dxa" w:w="110"/>
              <w:bottom w:type="dxa" w:w="80"/>
              <w:right w:type="dxa" w:w="110"/>
            </w:tcMar>
            <w:vAlign w:val="center"/>
          </w:tcPr>
          <w:p>
            <w:pPr>
              <w:spacing w:after="50" w:before="50"/>
              <w:jc w:val="left"/>
            </w:pPr>
            <w:r>
              <w:rPr>
                <w:b/>
                <w:bCs/>
                <w:color w:val="FFFFFF"/>
                <w:sz w:val="18"/>
                <w:szCs w:val="18"/>
              </w:rPr>
              <w:t xml:space="preserve">Marka</w:t>
            </w:r>
          </w:p>
        </w:tc>
        <w:tc>
          <w:tcPr>
            <w:tcW w:type="dxa" w:w="3427"/>
            <w:shd w:fill="0F4A2E" w:color="auto" w:val="clear"/>
            <w:tcMar>
              <w:top w:type="dxa" w:w="80"/>
              <w:left w:type="dxa" w:w="110"/>
              <w:bottom w:type="dxa" w:w="80"/>
              <w:right w:type="dxa" w:w="110"/>
            </w:tcMar>
            <w:vAlign w:val="center"/>
          </w:tcPr>
          <w:p>
            <w:pPr>
              <w:spacing w:after="50" w:before="50"/>
              <w:jc w:val="left"/>
            </w:pPr>
            <w:r>
              <w:rPr>
                <w:b/>
                <w:bCs/>
                <w:color w:val="FFFFFF"/>
                <w:sz w:val="18"/>
                <w:szCs w:val="18"/>
              </w:rPr>
              <w:t xml:space="preserve">Patent</w:t>
            </w:r>
          </w:p>
        </w:tc>
      </w:tr>
      <w:tr>
        <w:tc>
          <w:tcPr>
            <w:tcW w:type="dxa" w:w="2165"/>
            <w:shd w:fill="FFFFFF" w:color="auto" w:val="clear"/>
            <w:tcMar>
              <w:top w:type="dxa" w:w="80"/>
              <w:left w:type="dxa" w:w="110"/>
              <w:bottom w:type="dxa" w:w="80"/>
              <w:right w:type="dxa" w:w="110"/>
            </w:tcMar>
            <w:vAlign w:val="top"/>
          </w:tcPr>
          <w:p>
            <w:pPr>
              <w:spacing w:after="50" w:before="50"/>
              <w:jc w:val="left"/>
            </w:pPr>
            <w:r>
              <w:rPr>
                <w:b/>
                <w:bCs/>
                <w:color w:val="333A3F"/>
                <w:sz w:val="18"/>
                <w:szCs w:val="18"/>
              </w:rPr>
              <w:t xml:space="preserve">Konu</w:t>
            </w:r>
          </w:p>
        </w:tc>
        <w:tc>
          <w:tcPr>
            <w:tcW w:type="dxa" w:w="3428"/>
            <w:shd w:fill="FFFFFF"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"ExtinGard" ibaresi</w:t>
            </w:r>
          </w:p>
        </w:tc>
        <w:tc>
          <w:tcPr>
            <w:tcW w:type="dxa" w:w="3427"/>
            <w:shd w:fill="FFFFFF"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"Doğal Bileşenlerden Oluşan Yangın Söndürücü Toz"</w:t>
            </w:r>
          </w:p>
        </w:tc>
      </w:tr>
      <w:tr>
        <w:tc>
          <w:tcPr>
            <w:tcW w:type="dxa" w:w="2165"/>
            <w:shd w:fill="F2F6F3" w:color="auto" w:val="clear"/>
            <w:tcMar>
              <w:top w:type="dxa" w:w="80"/>
              <w:left w:type="dxa" w:w="110"/>
              <w:bottom w:type="dxa" w:w="80"/>
              <w:right w:type="dxa" w:w="110"/>
            </w:tcMar>
            <w:vAlign w:val="top"/>
          </w:tcPr>
          <w:p>
            <w:pPr>
              <w:spacing w:after="50" w:before="50"/>
              <w:jc w:val="left"/>
            </w:pPr>
            <w:r>
              <w:rPr>
                <w:b/>
                <w:bCs/>
                <w:color w:val="333A3F"/>
                <w:sz w:val="18"/>
                <w:szCs w:val="18"/>
              </w:rPr>
              <w:t xml:space="preserve">Numara</w:t>
            </w:r>
          </w:p>
        </w:tc>
        <w:tc>
          <w:tcPr>
            <w:tcW w:type="dxa" w:w="3428"/>
            <w:shd w:fill="F2F6F3"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2026/001631</w:t>
            </w:r>
          </w:p>
        </w:tc>
        <w:tc>
          <w:tcPr>
            <w:tcW w:type="dxa" w:w="3427"/>
            <w:shd w:fill="F2F6F3"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2025/021562</w:t>
            </w:r>
          </w:p>
        </w:tc>
      </w:tr>
      <w:tr>
        <w:tc>
          <w:tcPr>
            <w:tcW w:type="dxa" w:w="2165"/>
            <w:shd w:fill="FFFFFF" w:color="auto" w:val="clear"/>
            <w:tcMar>
              <w:top w:type="dxa" w:w="80"/>
              <w:left w:type="dxa" w:w="110"/>
              <w:bottom w:type="dxa" w:w="80"/>
              <w:right w:type="dxa" w:w="110"/>
            </w:tcMar>
            <w:vAlign w:val="top"/>
          </w:tcPr>
          <w:p>
            <w:pPr>
              <w:spacing w:after="50" w:before="50"/>
              <w:jc w:val="left"/>
            </w:pPr>
            <w:r>
              <w:rPr>
                <w:b/>
                <w:bCs/>
                <w:color w:val="333A3F"/>
                <w:sz w:val="18"/>
                <w:szCs w:val="18"/>
              </w:rPr>
              <w:t xml:space="preserve">Tarih</w:t>
            </w:r>
          </w:p>
        </w:tc>
        <w:tc>
          <w:tcPr>
            <w:tcW w:type="dxa" w:w="3428"/>
            <w:shd w:fill="FFFFFF"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Başvuru 06.01.2026 · Tescil 04.06.2026</w:t>
            </w:r>
          </w:p>
        </w:tc>
        <w:tc>
          <w:tcPr>
            <w:tcW w:type="dxa" w:w="3427"/>
            <w:shd w:fill="FFFFFF"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Başvuru 24.12.2025</w:t>
            </w:r>
          </w:p>
        </w:tc>
      </w:tr>
      <w:tr>
        <w:tc>
          <w:tcPr>
            <w:tcW w:type="dxa" w:w="2165"/>
            <w:shd w:fill="F2F6F3" w:color="auto" w:val="clear"/>
            <w:tcMar>
              <w:top w:type="dxa" w:w="80"/>
              <w:left w:type="dxa" w:w="110"/>
              <w:bottom w:type="dxa" w:w="80"/>
              <w:right w:type="dxa" w:w="110"/>
            </w:tcMar>
            <w:vAlign w:val="top"/>
          </w:tcPr>
          <w:p>
            <w:pPr>
              <w:spacing w:after="50" w:before="50"/>
              <w:jc w:val="left"/>
            </w:pPr>
            <w:r>
              <w:rPr>
                <w:b/>
                <w:bCs/>
                <w:color w:val="333A3F"/>
                <w:sz w:val="18"/>
                <w:szCs w:val="18"/>
              </w:rPr>
              <w:t xml:space="preserve">Sınıf</w:t>
            </w:r>
          </w:p>
        </w:tc>
        <w:tc>
          <w:tcPr>
            <w:tcW w:type="dxa" w:w="3428"/>
            <w:shd w:fill="F2F6F3"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Nice 01, 09 ve 35</w:t>
            </w:r>
          </w:p>
        </w:tc>
        <w:tc>
          <w:tcPr>
            <w:tcW w:type="dxa" w:w="3427"/>
            <w:shd w:fill="F2F6F3"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IPC A62D 1/00</w:t>
            </w:r>
          </w:p>
        </w:tc>
      </w:tr>
      <w:tr>
        <w:tc>
          <w:tcPr>
            <w:tcW w:type="dxa" w:w="2165"/>
            <w:shd w:fill="FFFFFF" w:color="auto" w:val="clear"/>
            <w:tcMar>
              <w:top w:type="dxa" w:w="80"/>
              <w:left w:type="dxa" w:w="110"/>
              <w:bottom w:type="dxa" w:w="80"/>
              <w:right w:type="dxa" w:w="110"/>
            </w:tcMar>
            <w:vAlign w:val="top"/>
          </w:tcPr>
          <w:p>
            <w:pPr>
              <w:spacing w:after="50" w:before="50"/>
              <w:jc w:val="left"/>
            </w:pPr>
            <w:r>
              <w:rPr>
                <w:b/>
                <w:bCs/>
                <w:color w:val="333A3F"/>
                <w:sz w:val="18"/>
                <w:szCs w:val="18"/>
              </w:rPr>
              <w:t xml:space="preserve">Kapsam</w:t>
            </w:r>
          </w:p>
        </w:tc>
        <w:tc>
          <w:tcPr>
            <w:tcW w:type="dxa" w:w="3428"/>
            <w:shd w:fill="FFFFFF"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Ürün, cihaz ve satış faaliyeti</w:t>
            </w:r>
          </w:p>
        </w:tc>
        <w:tc>
          <w:tcPr>
            <w:tcW w:type="dxa" w:w="3427"/>
            <w:shd w:fill="FFFFFF"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11 istem</w:t>
            </w:r>
          </w:p>
        </w:tc>
      </w:tr>
      <w:tr>
        <w:tc>
          <w:tcPr>
            <w:tcW w:type="dxa" w:w="2165"/>
            <w:shd w:fill="F2F6F3" w:color="auto" w:val="clear"/>
            <w:tcMar>
              <w:top w:type="dxa" w:w="80"/>
              <w:left w:type="dxa" w:w="110"/>
              <w:bottom w:type="dxa" w:w="80"/>
              <w:right w:type="dxa" w:w="110"/>
            </w:tcMar>
            <w:vAlign w:val="top"/>
          </w:tcPr>
          <w:p>
            <w:pPr>
              <w:spacing w:after="50" w:before="50"/>
              <w:jc w:val="left"/>
            </w:pPr>
            <w:r>
              <w:rPr>
                <w:b/>
                <w:bCs/>
                <w:color w:val="333A3F"/>
                <w:sz w:val="18"/>
                <w:szCs w:val="18"/>
              </w:rPr>
              <w:t xml:space="preserve">Durum</w:t>
            </w:r>
          </w:p>
        </w:tc>
        <w:tc>
          <w:tcPr>
            <w:tcW w:type="dxa" w:w="3428"/>
            <w:shd w:fill="F2F6F3"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Tescilli · koruma 06.01.2026 – 06.01.2036</w:t>
            </w:r>
          </w:p>
        </w:tc>
        <w:tc>
          <w:tcPr>
            <w:tcW w:type="dxa" w:w="3427"/>
            <w:shd w:fill="F2F6F3" w:color="auto" w:val="clear"/>
            <w:tcMar>
              <w:top w:type="dxa" w:w="80"/>
              <w:left w:type="dxa" w:w="110"/>
              <w:bottom w:type="dxa" w:w="80"/>
              <w:right w:type="dxa" w:w="110"/>
            </w:tcMar>
            <w:vAlign w:val="top"/>
          </w:tcPr>
          <w:p>
            <w:pPr>
              <w:spacing w:after="50" w:before="50"/>
              <w:jc w:val="left"/>
            </w:pPr>
            <w:r>
              <w:rPr>
                <w:b w:val="false"/>
                <w:bCs w:val="false"/>
                <w:color w:val="333A3F"/>
                <w:sz w:val="18"/>
                <w:szCs w:val="18"/>
              </w:rPr>
              <w:t xml:space="preserve">25.08.2026 tarihinde patent verilmesine karar verildi</w:t>
            </w:r>
          </w:p>
        </w:tc>
      </w:tr>
    </w:tbl>
    <w:p>
      <w:pPr>
        <w:spacing w:after="220"/>
      </w:pPr>
    </w:p>
    <w:p>
      <w:pPr>
        <w:spacing w:after="130" w:line="300"/>
        <w:ind w:firstLine="340"/>
        <w:jc w:val="both"/>
      </w:pPr>
      <w:r>
        <w:rPr>
          <w:color w:val="1A1F24"/>
          <w:sz w:val="21"/>
          <w:szCs w:val="21"/>
        </w:rPr>
        <w:t xml:space="preserve">Patent inceleme raporunda 11 istemin tamamı </w:t>
      </w:r>
      <w:r>
        <w:rPr>
          <w:b/>
          <w:bCs/>
          <w:color w:val="1A1F24"/>
          <w:sz w:val="21"/>
          <w:szCs w:val="21"/>
        </w:rPr>
        <w:t xml:space="preserve">yenilik</w:t>
      </w:r>
      <w:r>
        <w:rPr>
          <w:color w:val="1A1F24"/>
          <w:sz w:val="21"/>
          <w:szCs w:val="21"/>
        </w:rPr>
        <w:t xml:space="preserve">, </w:t>
      </w:r>
      <w:r>
        <w:rPr>
          <w:b/>
          <w:bCs/>
          <w:color w:val="1A1F24"/>
          <w:sz w:val="21"/>
          <w:szCs w:val="21"/>
        </w:rPr>
        <w:t xml:space="preserve">buluş basamağı</w:t>
      </w:r>
      <w:r>
        <w:rPr>
          <w:color w:val="1A1F24"/>
          <w:sz w:val="21"/>
          <w:szCs w:val="21"/>
        </w:rPr>
        <w:t xml:space="preserve"> ve </w:t>
      </w:r>
      <w:r>
        <w:rPr>
          <w:b/>
          <w:bCs/>
          <w:color w:val="1A1F24"/>
          <w:sz w:val="21"/>
          <w:szCs w:val="21"/>
        </w:rPr>
        <w:t xml:space="preserve">sanayiye uygulanabilirlik</w:t>
      </w:r>
      <w:r>
        <w:rPr>
          <w:color w:val="1A1F24"/>
          <w:sz w:val="21"/>
          <w:szCs w:val="21"/>
        </w:rPr>
        <w:t xml:space="preserve"> ölçütleri bakımından olumlu değerlendirilmiştir. Süreç 24.12.2025 tarihli başvuruyla başlamış; 14.01.2026'da araştırma raporu düzenlenmiş, 10.02.2026'da inceleme talep edilmiş ve 25.08.2026'da patent verilmesine karar verilmiştir.</w:t>
      </w:r>
    </w:p>
    <w:tbl>
      <w:tblPr>
        <w:tblW w:type="dxa" w:w="9020"/>
        <w:tblBorders>
          <w:top w:val="single" w:color="D3DAD6" w:sz="2"/>
          <w:left w:val="single" w:color="D89A22" w:sz="18"/>
          <w:bottom w:val="single" w:color="D3DAD6" w:sz="2"/>
          <w:right w:val="single" w:color="D3DAD6" w:sz="2"/>
          <w:insideH w:val="none"/>
          <w:insideV w:val="none"/>
        </w:tblBorders>
      </w:tblPr>
      <w:tblGrid>
        <w:gridCol w:w="9020"/>
      </w:tblGrid>
      <w:tr>
        <w:tc>
          <w:tcPr>
            <w:tcW w:type="dxa" w:w="9020"/>
            <w:shd w:fill="FFF8EC" w:color="auto" w:val="clear"/>
            <w:tcMar>
              <w:top w:type="dxa" w:w="150"/>
              <w:left w:type="dxa" w:w="190"/>
              <w:bottom w:type="dxa" w:w="150"/>
              <w:right w:type="dxa" w:w="160"/>
            </w:tcMar>
          </w:tcPr>
          <w:p>
            <w:pPr>
              <w:spacing w:after="60"/>
            </w:pPr>
            <w:r>
              <w:rPr>
                <w:b/>
                <w:bCs/>
                <w:color w:val="B4610D"/>
                <w:sz w:val="16"/>
                <w:szCs w:val="16"/>
              </w:rPr>
              <w:t xml:space="preserve">HUKUKİ DURUMUN DOĞRU İFADESİ</w:t>
            </w:r>
          </w:p>
          <w:p>
            <w:pPr>
              <w:spacing w:after="0" w:line="276"/>
              <w:jc w:val="both"/>
            </w:pPr>
            <w:r>
              <w:rPr>
                <w:color w:val="333A3F"/>
                <w:sz w:val="19"/>
                <w:szCs w:val="19"/>
              </w:rPr>
              <w:t xml:space="preserve">Patent verilmesi kararı bültende yayımlandıktan sonra </w:t>
            </w:r>
            <w:r>
              <w:rPr>
                <w:b/>
                <w:bCs/>
                <w:color w:val="333A3F"/>
                <w:sz w:val="19"/>
                <w:szCs w:val="19"/>
              </w:rPr>
              <w:t xml:space="preserve">altı aylık üçüncü kişi itiraz süresi</w:t>
            </w:r>
            <w:r>
              <w:rPr>
                <w:color w:val="333A3F"/>
                <w:sz w:val="19"/>
                <w:szCs w:val="19"/>
              </w:rPr>
              <w:t xml:space="preserve"> işlemektedir; karar bu sürenin sonunda kesinleşir. Bu nedenle mevcut aşamada doğru ifade “patent alınmıştır” değil, </w:t>
            </w:r>
            <w:r>
              <w:rPr>
                <w:b/>
                <w:bCs/>
                <w:color w:val="333A3F"/>
                <w:sz w:val="19"/>
                <w:szCs w:val="19"/>
              </w:rPr>
              <w:t xml:space="preserve">“patent verilmesine karar verilmiştir”</w:t>
            </w:r>
            <w:r>
              <w:rPr>
                <w:color w:val="333A3F"/>
                <w:sz w:val="19"/>
                <w:szCs w:val="19"/>
              </w:rPr>
              <w:t xml:space="preserve"> biçimindedir.</w:t>
            </w:r>
          </w:p>
        </w:tc>
      </w:tr>
    </w:tbl>
    <w:p>
      <w:pPr>
        <w:spacing w:after="200"/>
      </w:pPr>
    </w:p>
    <w:p>
      <w:pPr>
        <w:spacing w:after="130" w:line="300"/>
        <w:ind w:firstLine="340"/>
        <w:jc w:val="both"/>
      </w:pPr>
      <w:r>
        <w:rPr>
          <w:color w:val="1A1F24"/>
          <w:sz w:val="21"/>
          <w:szCs w:val="21"/>
        </w:rPr>
        <w:t xml:space="preserve">Marka tescilinin üç Nice sınıfını birlikte kapsaması, korumanın yalnızca toz ürününü değil söndürme cihazını ve satış faaliyetini de içermesini sağlamaktadır. Uluslararası koruma için bir sonraki adım, öncelikli pazarlar olarak belirlenen Avrupa Birliği (EPO) ve Körfez ülkelerini hedefleyen PCT başvurusudur.</w:t>
      </w:r>
    </w:p>
    <w:p>
      <w:pPr>
        <w:pStyle w:val="Heading1"/>
        <w:keepNext/>
        <w:spacing w:after="160" w:before="400"/>
      </w:pPr>
      <w:r>
        <w:rPr>
          <w:b/>
          <w:bCs/>
          <w:color w:val="0F4A2E"/>
          <w:sz w:val="25"/>
          <w:szCs w:val="25"/>
        </w:rPr>
        <w:t xml:space="preserve">7. Sonuç ve Öneriler</w:t>
      </w:r>
    </w:p>
    <w:p>
      <w:pPr>
        <w:spacing w:after="130" w:line="300"/>
        <w:jc w:val="both"/>
      </w:pPr>
      <w:r>
        <w:rPr>
          <w:color w:val="1A1F24"/>
          <w:sz w:val="21"/>
          <w:szCs w:val="21"/>
        </w:rPr>
        <w:t xml:space="preserve">Bu çalışmada, kütlesinin yarısı geri dönüştürülmüş yumurta kabuğundan oluşan, tamamı doğal kaynaklı bir yangın söndürme tozu tanımlanmış ve deneysel olarak sınanmıştır. Bileşim, yanma üçgeninin üç köşesine eş zamanlı müdahale edecek biçimde tasarlanmış; yaklaşık 200 °C ile 840 °C arasında kademeli olarak devreye giren endotermik bozunma tepkimeleri aracılığıyla soğutma, oksijen seyreltme ve örtü oluşturma mekanizmaları tek bir üründe birleştirilmiştir.</w:t>
      </w:r>
    </w:p>
    <w:p>
      <w:pPr>
        <w:spacing w:after="130" w:line="300"/>
        <w:ind w:firstLine="340"/>
        <w:jc w:val="both"/>
      </w:pPr>
      <w:r>
        <w:rPr>
          <w:color w:val="1A1F24"/>
          <w:sz w:val="21"/>
          <w:szCs w:val="21"/>
        </w:rPr>
        <w:t xml:space="preserve">A, B, C ve F sınıflarını temsil eden yedi yanıcı malzeme üzerinde yürütülen kontrollü deneylerin tamamında, 3–8 saniye aralığında tam söndürme gözlemlenmiştir. Özellikle F sınıfı bitkisel yağ yangınlarında elde edilen sonuç, piyasadaki ABC tozunun karşılayamadığı bir boşluğa işaret etmektedir. Laboratuvar ölçeğinde hesaplanan 0,0497 TL/g birim maliyet, ABC tozuna kıyasla 5–6 kat, BC tozuna kıyasla yaklaşık 3 kat daha düşüktür ve büyük hacimli kamu tedariki açısından belirleyici bir erişilebilirlik avantajı sunmaktadır.</w:t>
      </w:r>
    </w:p>
    <w:p>
      <w:pPr>
        <w:spacing w:after="130" w:line="300"/>
        <w:ind w:firstLine="340"/>
        <w:jc w:val="both"/>
      </w:pPr>
      <w:r>
        <w:rPr>
          <w:color w:val="1A1F24"/>
          <w:sz w:val="21"/>
          <w:szCs w:val="21"/>
        </w:rPr>
        <w:t xml:space="preserve">Bununla birlikte, bulguların </w:t>
      </w:r>
      <w:r>
        <w:rPr>
          <w:b/>
          <w:bCs/>
          <w:color w:val="1A1F24"/>
          <w:sz w:val="21"/>
          <w:szCs w:val="21"/>
        </w:rPr>
        <w:t xml:space="preserve">ön doğrulama</w:t>
      </w:r>
      <w:r>
        <w:rPr>
          <w:color w:val="1A1F24"/>
          <w:sz w:val="21"/>
          <w:szCs w:val="21"/>
        </w:rPr>
        <w:t xml:space="preserve"> niteliğinde olduğu vurgulanmalıdır. Söndürme performansının akredite bir standart altında ölçülmemiş olması, karışımın termal davranışının enstrümantal olarak karakterize edilmemesi ve tozun fiziksel niteliklerinin belirlenmemiş olması, ürünün mevcut aşamasını tanımlayan başlıca sınırlılıklardır.</w:t>
      </w:r>
    </w:p>
    <w:p>
      <w:pPr>
        <w:pStyle w:val="Heading2"/>
        <w:keepNext/>
        <w:spacing w:after="120" w:before="300"/>
      </w:pPr>
      <w:r>
        <w:rPr>
          <w:b/>
          <w:bCs/>
          <w:color w:val="1A7A4A"/>
          <w:sz w:val="22"/>
          <w:szCs w:val="22"/>
        </w:rPr>
        <w:t xml:space="preserve">7.1 Gelecek çalışma önerileri</w:t>
      </w:r>
    </w:p>
    <w:p>
      <w:pPr>
        <w:pStyle w:val="ListParagraph"/>
        <w:numPr>
          <w:ilvl w:val="0"/>
          <w:numId w:val="3"/>
        </w:numPr>
        <w:spacing w:after="70" w:line="288"/>
      </w:pPr>
      <w:r>
        <w:rPr>
          <w:b/>
          <w:bCs/>
          <w:color w:val="1A1F24"/>
          <w:sz w:val="21"/>
          <w:szCs w:val="21"/>
        </w:rPr>
        <w:t xml:space="preserve">Standart sertifikasyon testleri.</w:t>
      </w:r>
      <w:r>
        <w:rPr>
          <w:color w:val="1A1F24"/>
          <w:sz w:val="21"/>
          <w:szCs w:val="21"/>
        </w:rPr>
        <w:t xml:space="preserve"> TS EN 615 ve ilgili durumlarda TS EN 3 kapsamında akredite laboratuvarda yangın derecesi belirleme testlerinin yürütülmesi. Kamu ihalelerine katılımın da ön koşuludur.</w:t>
      </w:r>
    </w:p>
    <w:p>
      <w:pPr>
        <w:pStyle w:val="ListParagraph"/>
        <w:numPr>
          <w:ilvl w:val="0"/>
          <w:numId w:val="3"/>
        </w:numPr>
        <w:spacing w:after="70" w:line="288"/>
      </w:pPr>
      <w:r>
        <w:rPr>
          <w:b/>
          <w:bCs/>
          <w:color w:val="1A1F24"/>
          <w:sz w:val="21"/>
          <w:szCs w:val="21"/>
        </w:rPr>
        <w:t xml:space="preserve">Termal karakterizasyon.</w:t>
      </w:r>
      <w:r>
        <w:rPr>
          <w:color w:val="1A1F24"/>
          <w:sz w:val="21"/>
          <w:szCs w:val="21"/>
        </w:rPr>
        <w:t xml:space="preserve"> TGA ve DSC ölçümleriyle karışımın gerçek bozunma başlangıç sıcaklıklarının ve toplam ısı emme kapasitesinin belirlenmesi; saf bileşik değerleriyle karşılaştırılması.</w:t>
      </w:r>
    </w:p>
    <w:p>
      <w:pPr>
        <w:pStyle w:val="ListParagraph"/>
        <w:numPr>
          <w:ilvl w:val="0"/>
          <w:numId w:val="3"/>
        </w:numPr>
        <w:spacing w:after="70" w:line="288"/>
      </w:pPr>
      <w:r>
        <w:rPr>
          <w:b/>
          <w:bCs/>
          <w:color w:val="1A1F24"/>
          <w:sz w:val="21"/>
          <w:szCs w:val="21"/>
        </w:rPr>
        <w:t xml:space="preserve">Toz teknolojisi karakterizasyonu.</w:t>
      </w:r>
      <w:r>
        <w:rPr>
          <w:color w:val="1A1F24"/>
          <w:sz w:val="21"/>
          <w:szCs w:val="21"/>
        </w:rPr>
        <w:t xml:space="preserve"> Tanecik boyut dağılımı, yığın ve sıkıştırılmış yoğunluk, akış indeksi, higroskopik davranış ve hızlandırılmış raf ömrü testleri; ardından basınçlı söndürme cihazı donanımıyla boşalma denemeleri.</w:t>
      </w:r>
    </w:p>
    <w:p>
      <w:pPr>
        <w:pStyle w:val="ListParagraph"/>
        <w:numPr>
          <w:ilvl w:val="0"/>
          <w:numId w:val="3"/>
        </w:numPr>
        <w:spacing w:after="70" w:line="288"/>
      </w:pPr>
      <w:r>
        <w:rPr>
          <w:b/>
          <w:bCs/>
          <w:color w:val="1A1F24"/>
          <w:sz w:val="21"/>
          <w:szCs w:val="21"/>
        </w:rPr>
        <w:t xml:space="preserve">Ölçek büyütme.</w:t>
      </w:r>
      <w:r>
        <w:rPr>
          <w:color w:val="1A1F24"/>
          <w:sz w:val="21"/>
          <w:szCs w:val="21"/>
        </w:rPr>
        <w:t xml:space="preserve"> Tepsi ölçeğinden standart yangın ocaklarına geçiş ve söndürme performansının ölçekle değişiminin incelenmesi.</w:t>
      </w:r>
    </w:p>
    <w:p>
      <w:pPr>
        <w:pStyle w:val="ListParagraph"/>
        <w:numPr>
          <w:ilvl w:val="0"/>
          <w:numId w:val="3"/>
        </w:numPr>
        <w:spacing w:after="70" w:line="288"/>
      </w:pPr>
      <w:r>
        <w:rPr>
          <w:b/>
          <w:bCs/>
          <w:color w:val="1A1F24"/>
          <w:sz w:val="21"/>
          <w:szCs w:val="21"/>
        </w:rPr>
        <w:t xml:space="preserve">Geri-yanma direnci.</w:t>
      </w:r>
      <w:r>
        <w:rPr>
          <w:color w:val="1A1F24"/>
          <w:sz w:val="21"/>
          <w:szCs w:val="21"/>
        </w:rPr>
        <w:t xml:space="preserve"> Standart burn-back prosedürüyle yeniden tutuşma direncinin nicelleştirilmesi, özellikle F sınıfı için.</w:t>
      </w:r>
    </w:p>
    <w:p>
      <w:pPr>
        <w:pStyle w:val="ListParagraph"/>
        <w:numPr>
          <w:ilvl w:val="0"/>
          <w:numId w:val="3"/>
        </w:numPr>
        <w:spacing w:after="70" w:line="288"/>
      </w:pPr>
      <w:r>
        <w:rPr>
          <w:b/>
          <w:bCs/>
          <w:color w:val="1A1F24"/>
          <w:sz w:val="21"/>
          <w:szCs w:val="21"/>
        </w:rPr>
        <w:t xml:space="preserve">Çevresel doğrulama.</w:t>
      </w:r>
      <w:r>
        <w:rPr>
          <w:color w:val="1A1F24"/>
          <w:sz w:val="21"/>
          <w:szCs w:val="21"/>
        </w:rPr>
        <w:t xml:space="preserve"> Biyobozunurluk, toprak ve su ekotoksikolojisi ile solunabilir toz maruziyeti değerlendirmelerinin bağımsız laboratuvarda yapılması.</w:t>
      </w:r>
    </w:p>
    <w:p>
      <w:pPr>
        <w:pStyle w:val="ListParagraph"/>
        <w:numPr>
          <w:ilvl w:val="0"/>
          <w:numId w:val="3"/>
        </w:numPr>
        <w:spacing w:after="70" w:line="288"/>
      </w:pPr>
      <w:r>
        <w:rPr>
          <w:b/>
          <w:bCs/>
          <w:color w:val="1A1F24"/>
          <w:sz w:val="21"/>
          <w:szCs w:val="21"/>
        </w:rPr>
        <w:t xml:space="preserve">Pilot üretim ve maliyet doğrulaması.</w:t>
      </w:r>
      <w:r>
        <w:rPr>
          <w:color w:val="1A1F24"/>
          <w:sz w:val="21"/>
          <w:szCs w:val="21"/>
        </w:rPr>
        <w:t xml:space="preserve"> Pilot hat kurularak endüstriyel ölçekte gerçek birim maliyetin hesaplanması.</w:t>
      </w:r>
    </w:p>
    <w:p>
      <w:pPr>
        <w:spacing w:after="80"/>
      </w:pPr>
    </w:p>
    <w:p>
      <w:pPr>
        <w:spacing w:after="130" w:line="300"/>
        <w:ind w:firstLine="340"/>
        <w:jc w:val="both"/>
      </w:pPr>
      <w:r>
        <w:rPr>
          <w:color w:val="1A1F24"/>
          <w:sz w:val="21"/>
          <w:szCs w:val="21"/>
        </w:rPr>
        <w:t xml:space="preserve">Bu adımların tamamlanması hâlinde ürün, çevresel yükü düşük ve maliyeti erişilebilir bir söndürücü olarak hem kamu tedarik zincirinde hem de endüstriyel tesislerde değerlendirilebilecek olgunluğa ulaşacaktır.</w:t>
      </w:r>
    </w:p>
    <w:p>
      <w:pPr>
        <w:pStyle w:val="Heading1"/>
        <w:keepNext/>
        <w:spacing w:after="160" w:before="400"/>
      </w:pPr>
      <w:r>
        <w:rPr>
          <w:b/>
          <w:bCs/>
          <w:color w:val="0F4A2E"/>
          <w:sz w:val="25"/>
          <w:szCs w:val="25"/>
        </w:rPr>
        <w:t xml:space="preserve">Teşekkür</w:t>
      </w:r>
    </w:p>
    <w:p>
      <w:pPr>
        <w:spacing w:after="130" w:line="300"/>
        <w:jc w:val="both"/>
      </w:pPr>
      <w:r>
        <w:rPr>
          <w:color w:val="1A1F24"/>
          <w:sz w:val="21"/>
          <w:szCs w:val="21"/>
        </w:rPr>
        <w:t xml:space="preserve">Yazarlar, saha denemelerine sağladıkları destek ve profesyonel teknik değerlendirmeleri için Bursa İtfaiye Arama Kurtarma ve Müdahale Birimleri'ne; araştırmanın yürütüldüğü laboratuvar altyapısı ve Ar-Ge ortamı için BTSO Kamil Tolon Bilim ve Sanat Merkezi'ne; iş modeli ve fikri mülkiyet stratejisi konusundaki değerlendirmeleri için T3 Girişim Merkezi DENEYAP Girişim Programı'na teşekkür eder.</w:t>
      </w:r>
    </w:p>
    <w:p>
      <w:pPr>
        <w:pStyle w:val="Heading1"/>
        <w:keepNext/>
        <w:spacing w:after="160" w:before="400"/>
      </w:pPr>
      <w:r>
        <w:rPr>
          <w:b/>
          <w:bCs/>
          <w:color w:val="0F4A2E"/>
          <w:sz w:val="25"/>
          <w:szCs w:val="25"/>
        </w:rPr>
        <w:t xml:space="preserve">Beyanlar</w:t>
      </w:r>
    </w:p>
    <w:p>
      <w:pPr>
        <w:pStyle w:val="Heading2"/>
        <w:keepNext/>
        <w:spacing w:after="120" w:before="300"/>
      </w:pPr>
      <w:r>
        <w:rPr>
          <w:b/>
          <w:bCs/>
          <w:color w:val="1A7A4A"/>
          <w:sz w:val="22"/>
          <w:szCs w:val="22"/>
        </w:rPr>
        <w:t xml:space="preserve">Yazar katkı beyanı</w:t>
      </w:r>
    </w:p>
    <w:p>
      <w:pPr>
        <w:spacing w:after="130" w:line="300"/>
        <w:jc w:val="both"/>
      </w:pPr>
      <w:r>
        <w:rPr>
          <w:b/>
          <w:bCs/>
          <w:color w:val="1A1F24"/>
          <w:sz w:val="21"/>
          <w:szCs w:val="21"/>
        </w:rPr>
        <w:t xml:space="preserve">A. K. Erguvan:</w:t>
      </w:r>
      <w:r>
        <w:rPr>
          <w:color w:val="1A1F24"/>
          <w:sz w:val="21"/>
          <w:szCs w:val="21"/>
        </w:rPr>
        <w:t xml:space="preserve"> kavramsallaştırma, formülasyon geliştirme, deney protokollerinin tasarımı, deneylerin yürütülmesi, makalenin yazımı. </w:t>
      </w:r>
      <w:r>
        <w:rPr>
          <w:b/>
          <w:bCs/>
          <w:color w:val="1A1F24"/>
          <w:sz w:val="21"/>
          <w:szCs w:val="21"/>
        </w:rPr>
        <w:t xml:space="preserve">C. N. Söylemez:</w:t>
      </w:r>
      <w:r>
        <w:rPr>
          <w:color w:val="1A1F24"/>
          <w:sz w:val="21"/>
          <w:szCs w:val="21"/>
        </w:rPr>
        <w:t xml:space="preserve"> veri derleme, rakip ve maliyet analizi, bulguların raporlanması, makalenin gözden geçirilmesi. </w:t>
      </w:r>
      <w:r>
        <w:rPr>
          <w:b/>
          <w:bCs/>
          <w:color w:val="1A1F24"/>
          <w:sz w:val="21"/>
          <w:szCs w:val="21"/>
        </w:rPr>
        <w:t xml:space="preserve">H. Y. Aydın:</w:t>
      </w:r>
      <w:r>
        <w:rPr>
          <w:color w:val="1A1F24"/>
          <w:sz w:val="21"/>
          <w:szCs w:val="21"/>
        </w:rPr>
        <w:t xml:space="preserve"> kurumsal ilişkilerin yürütülmesi, saha denemelerinin koordinasyonu, ticarileşme çerçevesi, makalenin gözden geçirilmesi. </w:t>
      </w:r>
      <w:r>
        <w:rPr>
          <w:b/>
          <w:bCs/>
          <w:color w:val="1A1F24"/>
          <w:sz w:val="21"/>
          <w:szCs w:val="21"/>
        </w:rPr>
        <w:t xml:space="preserve">G. Sezen:</w:t>
      </w:r>
      <w:r>
        <w:rPr>
          <w:color w:val="1A1F24"/>
          <w:sz w:val="21"/>
          <w:szCs w:val="21"/>
        </w:rPr>
        <w:t xml:space="preserve"> bilimsel danışmanlık, yöntem gözetimi, kurumsal süreçlerin koordinasyonu, makalenin son okuması. Tüm yazarlar makalenin son hâlini okumuş ve onaylamıştır.</w:t>
      </w:r>
    </w:p>
    <w:p>
      <w:pPr>
        <w:pStyle w:val="Heading2"/>
        <w:keepNext/>
        <w:spacing w:after="120" w:before="300"/>
      </w:pPr>
      <w:r>
        <w:rPr>
          <w:b/>
          <w:bCs/>
          <w:color w:val="1A7A4A"/>
          <w:sz w:val="22"/>
          <w:szCs w:val="22"/>
        </w:rPr>
        <w:t xml:space="preserve">Çıkar çatışması beyanı</w:t>
      </w:r>
    </w:p>
    <w:p>
      <w:pPr>
        <w:spacing w:after="130" w:line="300"/>
        <w:jc w:val="both"/>
      </w:pPr>
      <w:r>
        <w:rPr>
          <w:color w:val="1A1F24"/>
          <w:sz w:val="21"/>
          <w:szCs w:val="21"/>
        </w:rPr>
        <w:t xml:space="preserve">Yazarlar, makalede konu edilen marka (2026/001631) ve patent başvurusunun (2025/021562) hak sahipleri arasındadır. Bu durum dışında beyan edilecek bir çıkar çatışması bulunmamaktadır.</w:t>
      </w:r>
    </w:p>
    <w:p>
      <w:pPr>
        <w:pStyle w:val="Heading2"/>
        <w:keepNext/>
        <w:spacing w:after="120" w:before="300"/>
      </w:pPr>
      <w:r>
        <w:rPr>
          <w:b/>
          <w:bCs/>
          <w:color w:val="1A7A4A"/>
          <w:sz w:val="22"/>
          <w:szCs w:val="22"/>
        </w:rPr>
        <w:t xml:space="preserve">Finansman</w:t>
      </w:r>
    </w:p>
    <w:p>
      <w:pPr>
        <w:spacing w:after="130" w:line="300"/>
        <w:jc w:val="both"/>
      </w:pPr>
      <w:r>
        <w:rPr>
          <w:color w:val="1A1F24"/>
          <w:sz w:val="21"/>
          <w:szCs w:val="21"/>
        </w:rPr>
        <w:t xml:space="preserve">Çalışma, herhangi bir kamu, ticari veya kâr amacı gütmeyen kuruluştan özel bir hibe almamıştır. Laboratuvar altyapısı BTSO Kamil Tolon Bilim ve Sanat Merkezi tarafından sağlanmıştır.</w:t>
      </w:r>
    </w:p>
    <w:p>
      <w:pPr>
        <w:pStyle w:val="Heading2"/>
        <w:keepNext/>
        <w:spacing w:after="120" w:before="300"/>
      </w:pPr>
      <w:r>
        <w:rPr>
          <w:b/>
          <w:bCs/>
          <w:color w:val="1A7A4A"/>
          <w:sz w:val="22"/>
          <w:szCs w:val="22"/>
        </w:rPr>
        <w:t xml:space="preserve">Veri erişilebilirliği</w:t>
      </w:r>
    </w:p>
    <w:p>
      <w:pPr>
        <w:spacing w:after="130" w:line="300"/>
        <w:jc w:val="both"/>
      </w:pPr>
      <w:r>
        <w:rPr>
          <w:color w:val="1A1F24"/>
          <w:sz w:val="21"/>
          <w:szCs w:val="21"/>
        </w:rPr>
        <w:t xml:space="preserve">Deneylerin video kayıtları ve ham gözlem notları, makul talep hâlinde sorumlu yazar aracılığıyla erişime açılabilir.</w:t>
      </w:r>
    </w:p>
    <w:p>
      <w:pPr>
        <w:pStyle w:val="Heading1"/>
        <w:keepNext/>
        <w:spacing w:after="160" w:before="400"/>
      </w:pPr>
      <w:r>
        <w:rPr>
          <w:b/>
          <w:bCs/>
          <w:color w:val="0F4A2E"/>
          <w:sz w:val="25"/>
          <w:szCs w:val="25"/>
        </w:rPr>
        <w:t xml:space="preserve">Kaynakça</w:t>
      </w:r>
    </w:p>
    <w:p>
      <w:pPr>
        <w:spacing w:after="100" w:line="276"/>
        <w:ind w:left="400" w:hanging="400"/>
      </w:pPr>
      <w:r>
        <w:rPr>
          <w:color w:val="1A1F24"/>
          <w:sz w:val="19"/>
          <w:szCs w:val="19"/>
        </w:rPr>
        <w:t xml:space="preserve">Anderson, H., Roberts, L., &amp; Kim, S. (2023). Plant-Based Fire Retardants: A New Approach to Sustainable Fire Safety. </w:t>
      </w:r>
      <w:r>
        <w:rPr>
          <w:i/>
          <w:iCs/>
          <w:color w:val="1A1F24"/>
          <w:sz w:val="19"/>
          <w:szCs w:val="19"/>
        </w:rPr>
        <w:t xml:space="preserve">Green Chemistry</w:t>
      </w:r>
      <w:r>
        <w:rPr>
          <w:color w:val="1A1F24"/>
          <w:sz w:val="19"/>
          <w:szCs w:val="19"/>
        </w:rPr>
        <w:t xml:space="preserve">, 12(4), 312–328.</w:t>
      </w:r>
    </w:p>
    <w:p>
      <w:pPr>
        <w:spacing w:after="100" w:line="276"/>
        <w:ind w:left="400" w:hanging="400"/>
      </w:pPr>
      <w:r>
        <w:rPr>
          <w:color w:val="1A1F24"/>
          <w:sz w:val="19"/>
          <w:szCs w:val="19"/>
        </w:rPr>
        <w:t xml:space="preserve">EPA (2019). </w:t>
      </w:r>
      <w:r>
        <w:rPr>
          <w:i/>
          <w:iCs/>
          <w:color w:val="1A1F24"/>
          <w:sz w:val="19"/>
          <w:szCs w:val="19"/>
        </w:rPr>
        <w:t xml:space="preserve">Ozone-Depleting Substances and Fire Suppressants.</w:t>
      </w:r>
      <w:r>
        <w:rPr>
          <w:color w:val="1A1F24"/>
          <w:sz w:val="19"/>
          <w:szCs w:val="19"/>
        </w:rPr>
        <w:t xml:space="preserve"> United States Environmental Protection Agency.</w:t>
      </w:r>
    </w:p>
    <w:p>
      <w:pPr>
        <w:spacing w:after="100" w:line="276"/>
        <w:ind w:left="400" w:hanging="400"/>
      </w:pPr>
      <w:r>
        <w:rPr>
          <w:color w:val="1A1F24"/>
          <w:sz w:val="19"/>
          <w:szCs w:val="19"/>
        </w:rPr>
        <w:t xml:space="preserve">IPCC (2023). </w:t>
      </w:r>
      <w:r>
        <w:rPr>
          <w:i/>
          <w:iCs/>
          <w:color w:val="1A1F24"/>
          <w:sz w:val="19"/>
          <w:szCs w:val="19"/>
        </w:rPr>
        <w:t xml:space="preserve">Climate Change 2023: Synthesis Report.</w:t>
      </w:r>
      <w:r>
        <w:rPr>
          <w:color w:val="1A1F24"/>
          <w:sz w:val="19"/>
          <w:szCs w:val="19"/>
        </w:rPr>
        <w:t xml:space="preserve"> Intergovernmental Panel on Climate Change.</w:t>
      </w:r>
    </w:p>
    <w:p>
      <w:pPr>
        <w:spacing w:after="100" w:line="276"/>
        <w:ind w:left="400" w:hanging="400"/>
      </w:pPr>
      <w:r>
        <w:rPr>
          <w:color w:val="1A1F24"/>
          <w:sz w:val="19"/>
          <w:szCs w:val="19"/>
        </w:rPr>
        <w:t xml:space="preserve">Kırtaş, H. A., &amp; Altundağ, H. (2023). Taşınabilir Yangın Söndürme Cihazlarının Üretimi, Dolumu ve Bakımı. </w:t>
      </w:r>
      <w:r>
        <w:rPr>
          <w:i/>
          <w:iCs/>
          <w:color w:val="1A1F24"/>
          <w:sz w:val="19"/>
          <w:szCs w:val="19"/>
        </w:rPr>
        <w:t xml:space="preserve">Uluslararası Yakıtlar Yanma ve Yangın Dergisi</w:t>
      </w:r>
      <w:r>
        <w:rPr>
          <w:color w:val="1A1F24"/>
          <w:sz w:val="19"/>
          <w:szCs w:val="19"/>
        </w:rPr>
        <w:t xml:space="preserve">, 11(1), 91–103.</w:t>
      </w:r>
    </w:p>
    <w:p>
      <w:pPr>
        <w:spacing w:after="100" w:line="276"/>
        <w:ind w:left="400" w:hanging="400"/>
      </w:pPr>
      <w:r>
        <w:rPr>
          <w:color w:val="1A1F24"/>
          <w:sz w:val="19"/>
          <w:szCs w:val="19"/>
        </w:rPr>
        <w:t xml:space="preserve">Lee, K., Smith, J., &amp; Walker, P. (2021). Health Impacts of Fire Suppressant Chemicals: A Review. </w:t>
      </w:r>
      <w:r>
        <w:rPr>
          <w:i/>
          <w:iCs/>
          <w:color w:val="1A1F24"/>
          <w:sz w:val="19"/>
          <w:szCs w:val="19"/>
        </w:rPr>
        <w:t xml:space="preserve">Environmental Research</w:t>
      </w:r>
      <w:r>
        <w:rPr>
          <w:color w:val="1A1F24"/>
          <w:sz w:val="19"/>
          <w:szCs w:val="19"/>
        </w:rPr>
        <w:t xml:space="preserve">, 56(3), 223–240.</w:t>
      </w:r>
    </w:p>
    <w:p>
      <w:pPr>
        <w:spacing w:after="100" w:line="276"/>
        <w:ind w:left="400" w:hanging="400"/>
      </w:pPr>
      <w:r>
        <w:rPr>
          <w:color w:val="1A1F24"/>
          <w:sz w:val="19"/>
          <w:szCs w:val="19"/>
        </w:rPr>
        <w:t xml:space="preserve">Miller, R., &amp; Carter, D. (2022). Calcium Carbonate in Fire Suppression Applications. </w:t>
      </w:r>
      <w:r>
        <w:rPr>
          <w:i/>
          <w:iCs/>
          <w:color w:val="1A1F24"/>
          <w:sz w:val="19"/>
          <w:szCs w:val="19"/>
        </w:rPr>
        <w:t xml:space="preserve">Journal of Chemical Studies</w:t>
      </w:r>
      <w:r>
        <w:rPr>
          <w:color w:val="1A1F24"/>
          <w:sz w:val="19"/>
          <w:szCs w:val="19"/>
        </w:rPr>
        <w:t xml:space="preserve">, 38(1), 55–67.</w:t>
      </w:r>
    </w:p>
    <w:p>
      <w:pPr>
        <w:spacing w:after="100" w:line="276"/>
        <w:ind w:left="400" w:hanging="400"/>
      </w:pPr>
      <w:r>
        <w:rPr>
          <w:color w:val="1A1F24"/>
          <w:sz w:val="19"/>
          <w:szCs w:val="19"/>
        </w:rPr>
        <w:t xml:space="preserve">Orman Genel Müdürlüğü (2023). </w:t>
      </w:r>
      <w:r>
        <w:rPr>
          <w:i/>
          <w:iCs/>
          <w:color w:val="1A1F24"/>
          <w:sz w:val="19"/>
          <w:szCs w:val="19"/>
        </w:rPr>
        <w:t xml:space="preserve">Türkiye'de Orman Yangınları İstatistikleri ve Müdahale Stratejileri.</w:t>
      </w:r>
      <w:r>
        <w:rPr>
          <w:color w:val="1A1F24"/>
          <w:sz w:val="19"/>
          <w:szCs w:val="19"/>
        </w:rPr>
        <w:t xml:space="preserve"> T.C. Tarım ve Orman Bakanlığı.</w:t>
      </w:r>
    </w:p>
    <w:p>
      <w:pPr>
        <w:spacing w:after="100" w:line="276"/>
        <w:ind w:left="400" w:hanging="400"/>
      </w:pPr>
      <w:r>
        <w:rPr>
          <w:color w:val="1A1F24"/>
          <w:sz w:val="19"/>
          <w:szCs w:val="19"/>
        </w:rPr>
        <w:t xml:space="preserve">Türk Patent ve Marka Kurumu (2026a). </w:t>
      </w:r>
      <w:r>
        <w:rPr>
          <w:i/>
          <w:iCs/>
          <w:color w:val="1A1F24"/>
          <w:sz w:val="19"/>
          <w:szCs w:val="19"/>
        </w:rPr>
        <w:t xml:space="preserve">Marka Tescil Belgesi</w:t>
      </w:r>
      <w:r>
        <w:rPr>
          <w:color w:val="1A1F24"/>
          <w:sz w:val="19"/>
          <w:szCs w:val="19"/>
        </w:rPr>
        <w:t xml:space="preserve">, Tescil No 2026/001631.</w:t>
      </w:r>
    </w:p>
    <w:p>
      <w:pPr>
        <w:spacing w:after="100" w:line="276"/>
        <w:ind w:left="400" w:hanging="400"/>
      </w:pPr>
      <w:r>
        <w:rPr>
          <w:color w:val="1A1F24"/>
          <w:sz w:val="19"/>
          <w:szCs w:val="19"/>
        </w:rPr>
        <w:t xml:space="preserve">Türk Patent ve Marka Kurumu (2026b). </w:t>
      </w:r>
      <w:r>
        <w:rPr>
          <w:i/>
          <w:iCs/>
          <w:color w:val="1A1F24"/>
          <w:sz w:val="19"/>
          <w:szCs w:val="19"/>
        </w:rPr>
        <w:t xml:space="preserve">İnceleme Raporu ve Belge Kararı</w:t>
      </w:r>
      <w:r>
        <w:rPr>
          <w:color w:val="1A1F24"/>
          <w:sz w:val="19"/>
          <w:szCs w:val="19"/>
        </w:rPr>
        <w:t xml:space="preserve">, Başvuru No 2025/021562.</w:t>
      </w:r>
    </w:p>
    <w:p>
      <w:pPr>
        <w:spacing w:after="100" w:line="276"/>
        <w:ind w:left="400" w:hanging="400"/>
      </w:pPr>
      <w:r>
        <w:rPr>
          <w:color w:val="1A1F24"/>
          <w:sz w:val="19"/>
          <w:szCs w:val="19"/>
        </w:rPr>
        <w:t xml:space="preserve">UNEP (2022). </w:t>
      </w:r>
      <w:r>
        <w:rPr>
          <w:i/>
          <w:iCs/>
          <w:color w:val="1A1F24"/>
          <w:sz w:val="19"/>
          <w:szCs w:val="19"/>
        </w:rPr>
        <w:t xml:space="preserve">Spreading Like Wildfire: The Rising Threat of Extraordinary Landscape Fires.</w:t>
      </w:r>
      <w:r>
        <w:rPr>
          <w:color w:val="1A1F24"/>
          <w:sz w:val="19"/>
          <w:szCs w:val="19"/>
        </w:rPr>
        <w:t xml:space="preserve"> United Nations Environment Programme.</w:t>
      </w:r>
    </w:p>
    <w:p>
      <w:pPr>
        <w:spacing w:after="260"/>
      </w:pPr>
    </w:p>
    <w:p>
      <w:pPr>
        <w:spacing w:after="130" w:line="300"/>
        <w:jc w:val="left"/>
      </w:pPr>
      <w:r>
        <w:rPr>
          <w:b/>
          <w:bCs/>
          <w:color w:val="1A1F24"/>
          <w:sz w:val="21"/>
          <w:szCs w:val="21"/>
        </w:rPr>
        <w:t xml:space="preserve">Makale sonu.</w:t>
      </w:r>
      <w:r>
        <w:rPr>
          <w:color w:val="1A1F24"/>
          <w:sz w:val="21"/>
          <w:szCs w:val="21"/>
        </w:rPr>
        <w:t xml:space="preserve"> Sürüm 1.0 — Eylül 2026. Bu makalenin İngilizce eşdeğeri </w:t>
      </w:r>
      <w:r>
        <w:rPr>
          <w:rFonts w:ascii="Consolas" w:cs="Consolas" w:eastAsia="Consolas" w:hAnsi="Consolas"/>
          <w:color w:val="0F4A2E"/>
          <w:sz w:val="19"/>
          <w:szCs w:val="19"/>
        </w:rPr>
        <w:t xml:space="preserve">ExtinGard_Research_Article_EN.docx</w:t>
      </w:r>
      <w:r>
        <w:rPr>
          <w:color w:val="1A1F24"/>
          <w:sz w:val="21"/>
          <w:szCs w:val="21"/>
        </w:rPr>
        <w:t xml:space="preserve"> dosyasındadır.</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280"/>
        <w:sz w:val="16"/>
        <w:szCs w:val="16"/>
      </w:rPr>
      <w:t xml:space="preserve">ExtinGard · Araştırma Makalesi    </w:t>
    </w:r>
    <w:r>
      <w:rPr>
        <w:b/>
        <w:bCs/>
        <w:color w:val="0F4A2E"/>
        <w:sz w:val="16"/>
        <w:szCs w:val="16"/>
      </w:rPr>
      <w:fldChar w:fldCharType="begin"/>
      <w:instrText xml:space="preserve">PAGE</w:instrText>
      <w:fldChar w:fldCharType="separate"/>
      <w:fldChar w:fldCharType="end"/>
    </w:r>
    <w:r>
      <w:rPr>
        <w:color w:val="6B7280"/>
        <w:sz w:val="16"/>
        <w:szCs w:val="16"/>
      </w:rPr>
      <w:t xml:space="preserve"> /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AD6" w:sz="4" w:space="6"/>
      </w:pBdr>
      <w:spacing w:after="220"/>
    </w:pPr>
    <w:r>
      <w:rPr>
        <w:color w:val="6B7280"/>
        <w:spacing w:val="25"/>
        <w:sz w:val="16"/>
        <w:szCs w:val="16"/>
      </w:rPr>
      <w:t xml:space="preserve">ERGUVAN vd.  ·  YUMURTA KABUĞU ESASLI YANGIN SÖNDÜRME TOZU (EXTINGARD)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80"/>
      </w:pPr>
      <w:rPr>
        <w:color w:val="1A7A4A"/>
      </w:rPr>
    </w:lvl>
  </w:abstractNum>
  <w:abstractNum w:abstractNumId="3" w15:restartNumberingAfterBreak="0">
    <w:multiLevelType w:val="hybridMultilevel"/>
    <w:lvl w:ilvl="0" w15:tentative="1">
      <w:start w:val="1"/>
      <w:numFmt w:val="decimal"/>
      <w:lvlText w:val="%1."/>
      <w:lvlJc w:val="left"/>
      <w:pPr>
        <w:ind w:left="420" w:hanging="320"/>
      </w:pPr>
      <w:rPr>
        <w:b/>
        <w:bCs/>
        <w:color w:val="1A7A4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F24"/>
        <w:sz w:val="21"/>
        <w:szCs w:val="21"/>
        <w:lang w:val="tr-TR"/>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F4A2E"/>
      <w:sz w:val="25"/>
      <w:szCs w:val="25"/>
    </w:rPr>
  </w:style>
  <w:style w:type="paragraph" w:styleId="Heading2">
    <w:name w:val="Heading 2"/>
    <w:basedOn w:val="Normal"/>
    <w:next w:val="Normal"/>
    <w:qFormat/>
    <w:rPr>
      <w:rFonts w:ascii="Calibri" w:cs="Calibri" w:eastAsia="Calibri" w:hAnsi="Calibri"/>
      <w:b/>
      <w:bCs/>
      <w:color w:val="1A7A4A"/>
      <w:sz w:val="22"/>
      <w:szCs w:val="22"/>
    </w:rPr>
  </w:style>
  <w:style w:type="paragraph" w:styleId="Heading3">
    <w:name w:val="Heading 3"/>
    <w:basedOn w:val="Normal"/>
    <w:next w:val="Normal"/>
    <w:qFormat/>
    <w:rPr>
      <w:rFonts w:ascii="Calibri" w:cs="Calibri" w:eastAsia="Calibri" w:hAnsi="Calibri"/>
      <w:b/>
      <w:bCs/>
      <w:color w:val="333A3F"/>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Yumurta Kabuğu Esaslı Biyo-Atık Kaynaklı Yeni Bir Yangın Söndürme Tozu (ExtinGard): Formülasyon, Üçlü Söndürme Mekanizması ve Deneysel Doğrulama</dc:title>
  <dc:creator>Alp Kayra Erguvan, Ceyda Nur Söylemez, Havva Yaren Aydın, Gülçin Sezen</dc:creator>
  <dc:description>Yumurta kabuğu ve doğal minerallerden üretilen biyobozunur yangın söndürme tozunun formülasyonu, söndürme mekanizması ve deneysel doğrulaması.</dc:description>
  <cp:lastModifiedBy>Un-named</cp:lastModifiedBy>
  <cp:revision>1</cp:revision>
  <dcterms:created xsi:type="dcterms:W3CDTF">2026-09-21T17:54:07.847Z</dcterms:created>
  <dcterms:modified xsi:type="dcterms:W3CDTF">2026-09-21T17:54:07.848Z</dcterms:modified>
</cp:coreProperties>
</file>

<file path=docProps/custom.xml><?xml version="1.0" encoding="utf-8"?>
<Properties xmlns="http://schemas.openxmlformats.org/officeDocument/2006/custom-properties" xmlns:vt="http://schemas.openxmlformats.org/officeDocument/2006/docPropsVTypes"/>
</file>