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7A4A"/>
          <w:spacing w:val="50"/>
          <w:sz w:val="17"/>
          <w:szCs w:val="17"/>
        </w:rPr>
        <w:t xml:space="preserve">RESEARCH ARTICLE  ·  FIRE SAFETY AND SUSTAINABLE MATERIALS</w:t>
      </w:r>
    </w:p>
    <w:p>
      <w:pPr>
        <w:spacing w:after="160" w:line="300"/>
      </w:pPr>
      <w:r>
        <w:rPr>
          <w:b/>
          <w:bCs/>
          <w:color w:val="0F4A2E"/>
          <w:sz w:val="34"/>
          <w:szCs w:val="34"/>
        </w:rPr>
        <w:t xml:space="preserve">A Novel Eggshell-Derived Bio-Waste Fire Extinguishing Powder (ExtinGard): Formulation, Triple Suppression Mechanism and Experimental Validation</w:t>
      </w:r>
    </w:p>
    <w:p>
      <w:pPr>
        <w:pBdr>
          <w:bottom w:val="single" w:color="1A7A4A" w:sz="12" w:space="10"/>
        </w:pBdr>
        <w:spacing w:after="220" w:line="288"/>
      </w:pPr>
      <w:r>
        <w:rPr>
          <w:i/>
          <w:iCs/>
          <w:color w:val="1A7A4A"/>
          <w:sz w:val="22"/>
          <w:szCs w:val="22"/>
        </w:rPr>
        <w:t xml:space="preserve">Yumurta Kabuğu Esaslı Biyo-Atık Kaynaklı Yeni Bir Yangın Söndürme Tozu (ExtinGard): Formülasyon, Üçlü Söndürme Mekanizması ve Deneysel Doğrulama</w:t>
      </w:r>
    </w:p>
    <w:p>
      <w:pPr>
        <w:spacing w:after="60" w:before="240"/>
      </w:pPr>
      <w:r>
        <w:rPr>
          <w:b/>
          <w:bCs/>
          <w:color w:val="333A3F"/>
          <w:sz w:val="21"/>
          <w:szCs w:val="21"/>
        </w:rPr>
        <w:t xml:space="preserve">Alp Kayra ERGUVAN¹  ·  Ceyda Nur SÖYLEMEZ¹  ·  Havva Yaren AYDIN¹  ·  Gülçin SEZEN²</w:t>
      </w:r>
    </w:p>
    <w:p>
      <w:pPr>
        <w:spacing w:after="50" w:line="264"/>
      </w:pPr>
      <w:r>
        <w:rPr>
          <w:color w:val="6B7280"/>
          <w:sz w:val="18"/>
          <w:szCs w:val="18"/>
        </w:rPr>
        <w:t xml:space="preserve">¹ Ateş Kes Team, BTSO Kamil Tolon Science and Art Centre, Bursa, Türkiye</w:t>
      </w:r>
    </w:p>
    <w:p>
      <w:pPr>
        <w:spacing w:after="50" w:line="264"/>
      </w:pPr>
      <w:r>
        <w:rPr>
          <w:color w:val="6B7280"/>
          <w:sz w:val="18"/>
          <w:szCs w:val="18"/>
        </w:rPr>
        <w:t xml:space="preserve">² Project Advisor, BTSO Kamil Tolon Science and Art Centre, Bursa, Türkiye</w:t>
      </w:r>
    </w:p>
    <w:p>
      <w:pPr>
        <w:spacing w:after="50" w:line="264"/>
      </w:pPr>
      <w:r>
        <w:rPr>
          <w:color w:val="6B7280"/>
          <w:sz w:val="18"/>
          <w:szCs w:val="18"/>
        </w:rPr>
        <w:t xml:space="preserve">Corresponding author: extingard@gmail.com  ·  Submitted: September 2026  ·  Version 1.0</w:t>
      </w:r>
    </w:p>
    <w:p>
      <w:pPr>
        <w:spacing w:after="240"/>
      </w:pPr>
    </w:p>
    <w:tbl>
      <w:tblPr>
        <w:tblW w:type="dxa" w:w="9020"/>
        <w:tblBorders>
          <w:top w:val="single" w:color="D3DAD6" w:sz="2"/>
          <w:left w:val="single" w:color="D3DAD6" w:sz="2"/>
          <w:bottom w:val="single" w:color="D3DAD6" w:sz="2"/>
          <w:right w:val="single" w:color="D3DAD6" w:sz="2"/>
          <w:insideH w:val="none"/>
          <w:insideV w:val="none"/>
        </w:tblBorders>
      </w:tblPr>
      <w:tblGrid>
        <w:gridCol w:w="9020"/>
      </w:tblGrid>
      <w:tr>
        <w:tc>
          <w:tcPr>
            <w:tcW w:type="dxa" w:w="9020"/>
            <w:shd w:fill="F4F8F5" w:color="auto" w:val="clear"/>
            <w:tcMar>
              <w:top w:type="dxa" w:w="150"/>
              <w:left w:type="dxa" w:w="170"/>
              <w:bottom w:type="dxa" w:w="150"/>
              <w:right w:type="dxa" w:w="160"/>
            </w:tcMar>
          </w:tcPr>
          <w:p>
            <w:pPr>
              <w:spacing w:after="90"/>
            </w:pPr>
            <w:r>
              <w:rPr>
                <w:b/>
                <w:bCs/>
                <w:color w:val="0F4A2E"/>
                <w:sz w:val="20"/>
                <w:szCs w:val="20"/>
              </w:rPr>
              <w:t xml:space="preserve">Abstract</w:t>
            </w:r>
          </w:p>
          <w:p>
            <w:pPr>
              <w:spacing w:after="120" w:line="276"/>
              <w:jc w:val="both"/>
            </w:pPr>
            <w:r>
              <w:rPr>
                <w:color w:val="333A3F"/>
                <w:sz w:val="19"/>
                <w:szCs w:val="19"/>
              </w:rPr>
              <w:t xml:space="preserve">ExtinGard is a fire extinguishing powder developed from recycled eggshell and natural minerals as an alternative to the dry chemical powders currently on the market. This study presents its formulation, suppression mechanism, production protocol and experimental validation. The composition — 50% eggshell (a CaCO₃ source), 20% magnesium hydroxide, 10% calcium hydroxide, 10% aluminium hydroxide, 8% kaolin and 2% magnesium stearate by mass — is designed to act on all three corners of the fire triangle simultaneously: the endothermic decomposition of Mg(OH)₂ and Ca(OH)₂ at approximately 350 °C and 512 °C draws heat from the environment and releases water vapour; the CO₂ released by the decomposition of CaCO₃ at approximately 840 °C dilutes the oxygen around the flame; and Al(OH)₃ together with kaolin forms a heat-resistant mineral blanket on the burning surface. The powder was tested under controlled conditions on seven combustible materials representing fire classes A, B, C and F, achieving complete extinction within 3–8 seconds in every case. Field trials were conducted jointly with the Bursa Fire Department Search, Rescue and Response Units. The unit cost calculated at laboratory scale is 0.0497 TL/g — 5–6 times lower than ABC powder and approximately 3 times lower than BC powder. The composition and production method are protected before the Turkish Patent and Trademark Office. The principal limitation of the study is that suppression performance has not yet been measured under an accredited standard such as TS EN 615; the findings are therefore preliminary.</w:t>
            </w:r>
          </w:p>
          <w:p>
            <w:pPr>
              <w:spacing w:after="0"/>
            </w:pPr>
            <w:r>
              <w:rPr>
                <w:b/>
                <w:bCs/>
                <w:color w:val="0F4A2E"/>
                <w:sz w:val="18"/>
                <w:szCs w:val="18"/>
              </w:rPr>
              <w:t xml:space="preserve">Keywords: </w:t>
            </w:r>
            <w:r>
              <w:rPr>
                <w:i/>
                <w:iCs/>
                <w:color w:val="333A3F"/>
                <w:sz w:val="18"/>
                <w:szCs w:val="18"/>
              </w:rPr>
              <w:t xml:space="preserve">fire extinguishing powder; eggshell; calcium carbonate; endothermic decomposition; bio-waste valorisation; PFAS-free extinguishant; sustainable fire safety</w:t>
            </w:r>
          </w:p>
        </w:tc>
      </w:tr>
    </w:tbl>
    <w:p>
      <w:pPr>
        <w:spacing w:after="200"/>
      </w:pPr>
    </w:p>
    <w:tbl>
      <w:tblPr>
        <w:tblW w:type="dxa" w:w="9020"/>
        <w:tblBorders>
          <w:top w:val="single" w:color="D3DAD6" w:sz="2"/>
          <w:left w:val="single" w:color="D3DAD6" w:sz="2"/>
          <w:bottom w:val="single" w:color="D3DAD6" w:sz="2"/>
          <w:right w:val="single" w:color="D3DAD6" w:sz="2"/>
          <w:insideH w:val="none"/>
          <w:insideV w:val="none"/>
        </w:tblBorders>
      </w:tblPr>
      <w:tblGrid>
        <w:gridCol w:w="9020"/>
      </w:tblGrid>
      <w:tr>
        <w:tc>
          <w:tcPr>
            <w:tcW w:type="dxa" w:w="9020"/>
            <w:shd w:fill="F4F8F5" w:color="auto" w:val="clear"/>
            <w:tcMar>
              <w:top w:type="dxa" w:w="150"/>
              <w:left w:type="dxa" w:w="170"/>
              <w:bottom w:type="dxa" w:w="150"/>
              <w:right w:type="dxa" w:w="160"/>
            </w:tcMar>
          </w:tcPr>
          <w:p>
            <w:pPr>
              <w:spacing w:after="90"/>
            </w:pPr>
            <w:r>
              <w:rPr>
                <w:b/>
                <w:bCs/>
                <w:color w:val="0F4A2E"/>
                <w:sz w:val="20"/>
                <w:szCs w:val="20"/>
              </w:rPr>
              <w:t xml:space="preserve">Öz (Turkish Abstract)</w:t>
            </w:r>
          </w:p>
          <w:p>
            <w:pPr>
              <w:spacing w:after="120" w:line="276"/>
              <w:jc w:val="both"/>
            </w:pPr>
            <w:r>
              <w:rPr>
                <w:color w:val="333A3F"/>
                <w:sz w:val="19"/>
                <w:szCs w:val="19"/>
              </w:rPr>
              <w:t xml:space="preserve">ExtinGard, geri dönüştürülmüş yumurta kabuğu ve doğal minerallerden oluşan, piyasadaki kuru kimyevi tozlara alternatif olarak geliştirilmiş bir yangın söndürme tozudur. Bu çalışmada tozun formülasyonu, söndürme mekanizması, üretim protokolü ve deneysel doğrulaması sunulmaktadır. Kütlece %50 yumurta kabuğu, %20 magnezyum hidroksit, %10 kalsiyum hidroksit, %10 alüminyum hidroksit, %8 kaolin ve %2 magnezyum stearattan oluşan bileşim, yanma üçgeninin üç köşesine eş zamanlı müdahale edecek biçimde tasarlanmıştır. Toz, A, B, C ve F yangın sınıflarını temsil eden yedi farklı yanıcı malzeme üzerinde kontrollü koşullarda denenmiş ve tamamında 3–8 saniye aralığında tam söndürme gözlemlenmiştir. Laboratuvar ölçeğinde hesaplanan birim maliyet 0,0497 TL/g olup ABC tozuna kıyasla 5–6 kat daha düşüktür. Çalışmanın başlıca sınırlılığı, söndürme performansının akredite bir standart altında henüz ölçülmemiş olmasıdır.</w:t>
            </w:r>
          </w:p>
          <w:p>
            <w:pPr>
              <w:spacing w:after="0"/>
            </w:pPr>
            <w:r>
              <w:rPr>
                <w:b/>
                <w:bCs/>
                <w:color w:val="0F4A2E"/>
                <w:sz w:val="18"/>
                <w:szCs w:val="18"/>
              </w:rPr>
              <w:t xml:space="preserve">Anahtar Kelimeler: </w:t>
            </w:r>
            <w:r>
              <w:rPr>
                <w:i/>
                <w:iCs/>
                <w:color w:val="333A3F"/>
                <w:sz w:val="18"/>
                <w:szCs w:val="18"/>
              </w:rPr>
              <w:t xml:space="preserve">yangın söndürme tozu; yumurta kabuğu; kalsiyum karbonat; endotermik bozunma; biyo-atık değerlendirme; PFAS'sız söndürücü; sürdürülebilir yangın güvenliği</w:t>
            </w:r>
          </w:p>
        </w:tc>
      </w:tr>
    </w:tbl>
    <w:p>
      <w:pPr>
        <w:spacing w:after="200"/>
      </w:pPr>
    </w:p>
    <w:p>
      <w:pPr>
        <w:pStyle w:val="Heading1"/>
        <w:keepNext/>
        <w:spacing w:after="160" w:before="400"/>
      </w:pPr>
      <w:r>
        <w:rPr>
          <w:b/>
          <w:bCs/>
          <w:color w:val="0F4A2E"/>
          <w:sz w:val="25"/>
          <w:szCs w:val="25"/>
        </w:rPr>
        <w:t xml:space="preserve">1. Introduction</w:t>
      </w:r>
    </w:p>
    <w:p>
      <w:pPr>
        <w:spacing w:after="130" w:line="300"/>
        <w:jc w:val="both"/>
      </w:pPr>
      <w:r>
        <w:rPr>
          <w:color w:val="1A1F24"/>
          <w:sz w:val="21"/>
          <w:szCs w:val="21"/>
        </w:rPr>
        <w:t xml:space="preserve">The climate crisis is increasing both the frequency and the severity of wildland and structural fires. The 2023 synthesis report of the Intergovernmental Panel on Climate Change points to an increase of roughly 30% in global fire frequency (IPCC, 2023). Industry figures place the annual global economic burden of fire disasters in the order of USD 328 billion, while in Türkiye an average of 80,000 hectares of forest burns each year (General Directorate of Forestry, 2023). This picture represents not only economic loss but also loss of life and irreversible ecosystem damage.</w:t>
      </w:r>
    </w:p>
    <w:p>
      <w:pPr>
        <w:spacing w:after="130" w:line="300"/>
        <w:ind w:firstLine="340"/>
        <w:jc w:val="both"/>
      </w:pPr>
      <w:r>
        <w:rPr>
          <w:color w:val="1A1F24"/>
          <w:sz w:val="21"/>
          <w:szCs w:val="21"/>
        </w:rPr>
        <w:t xml:space="preserve">A second and less frequently discussed layer of the problem is the response tools themselves. Most dry chemical powders used in portable extinguishers are based on monoammonium phosphate (ABC powder) or sodium bicarbonate (BC powder). While these compounds suppress flame effectively, they can induce corrosion on metal surfaces after discharge, degrade soil structure and enter water sources (Kırtaş &amp; Altundağ, 2023). Carbon dioxide extinguishers can reduce the ambient oxygen concentration in enclosed volumes to dangerous levels, and halogenated agents have been restricted under the Montreal Protocol because of their damage to the ozone layer (EPA, 2019). Reviews of the health effects of suppressant chemicals consistently report respiratory and dermal irritation (Lee et al., 2021).</w:t>
      </w:r>
    </w:p>
    <w:p>
      <w:pPr>
        <w:spacing w:after="130" w:line="300"/>
        <w:ind w:firstLine="340"/>
        <w:jc w:val="both"/>
      </w:pPr>
      <w:r>
        <w:rPr>
          <w:color w:val="1A1F24"/>
          <w:sz w:val="21"/>
          <w:szCs w:val="21"/>
        </w:rPr>
        <w:t xml:space="preserve">In recent years this second layer has also become a regulatory pressure. The European Union's restriction work on per- and polyfluoroalkyl substances (PFAS) is forcing reformulation, particularly of foam-based agents, and is raising demand for low-impact alternatives that leave no persistent residue. The principle that “the product which extinguishes the fire must not create a secondary environmental and health problem” is therefore no longer only an ethical position but a commercial and legal requirement.</w:t>
      </w:r>
    </w:p>
    <w:p>
      <w:pPr>
        <w:spacing w:after="130" w:line="300"/>
        <w:ind w:firstLine="340"/>
        <w:jc w:val="both"/>
      </w:pPr>
      <w:r>
        <w:rPr>
          <w:color w:val="1A1F24"/>
          <w:sz w:val="21"/>
          <w:szCs w:val="21"/>
        </w:rPr>
        <w:t xml:space="preserve">The aim of this study is to develop a fully natural, biodegradable fire extinguishing powder that uses eggshell — a high-volume bio-waste stream of the food industry — as its principal component, and to validate its suppression performance experimentally. The original contribution of the work can be grouped under three headings: </w:t>
      </w:r>
      <w:r>
        <w:rPr>
          <w:b/>
          <w:bCs/>
          <w:color w:val="1A1F24"/>
          <w:sz w:val="21"/>
          <w:szCs w:val="21"/>
        </w:rPr>
        <w:t xml:space="preserve">(i)</w:t>
      </w:r>
      <w:r>
        <w:rPr>
          <w:color w:val="1A1F24"/>
          <w:sz w:val="21"/>
          <w:szCs w:val="21"/>
        </w:rPr>
        <w:t xml:space="preserve"> the definition of a composition in which half the mass is recycled eggshell, </w:t>
      </w:r>
      <w:r>
        <w:rPr>
          <w:b/>
          <w:bCs/>
          <w:color w:val="1A1F24"/>
          <w:sz w:val="21"/>
          <w:szCs w:val="21"/>
        </w:rPr>
        <w:t xml:space="preserve">(ii)</w:t>
      </w:r>
      <w:r>
        <w:rPr>
          <w:color w:val="1A1F24"/>
          <w:sz w:val="21"/>
          <w:szCs w:val="21"/>
        </w:rPr>
        <w:t xml:space="preserve"> the formulation of a staged, triple suppression mechanism based on components that activate at different temperatures, and </w:t>
      </w:r>
      <w:r>
        <w:rPr>
          <w:b/>
          <w:bCs/>
          <w:color w:val="1A1F24"/>
          <w:sz w:val="21"/>
          <w:szCs w:val="21"/>
        </w:rPr>
        <w:t xml:space="preserve">(iii)</w:t>
      </w:r>
      <w:r>
        <w:rPr>
          <w:color w:val="1A1F24"/>
          <w:sz w:val="21"/>
          <w:szCs w:val="21"/>
        </w:rPr>
        <w:t xml:space="preserve"> preliminary validation through controlled experiments on seven combustible materials representing classes A, B, C and F.</w:t>
      </w:r>
    </w:p>
    <w:p>
      <w:pPr>
        <w:spacing w:after="130" w:line="300"/>
        <w:ind w:firstLine="340"/>
        <w:jc w:val="both"/>
      </w:pPr>
      <w:r>
        <w:rPr>
          <w:color w:val="1A1F24"/>
          <w:sz w:val="21"/>
          <w:szCs w:val="21"/>
        </w:rPr>
        <w:t xml:space="preserve">The remainder of the paper is organised as follows. Section 2 sets out the theoretical framework of combustion and suppression together with the limitations of existing products; Section 3 describes the formulation, the production protocol and the experimental method; Section 4 presents the findings; Section 5 discusses them and sets out the limitations of the study in detail; Section 6 summarises the intellectual property position; and Section 7 gives the conclusions and recommendations.</w:t>
      </w:r>
    </w:p>
    <w:p>
      <w:pPr>
        <w:pStyle w:val="Heading1"/>
        <w:keepNext/>
        <w:spacing w:after="160" w:before="400"/>
      </w:pPr>
      <w:r>
        <w:rPr>
          <w:b/>
          <w:bCs/>
          <w:color w:val="0F4A2E"/>
          <w:sz w:val="25"/>
          <w:szCs w:val="25"/>
        </w:rPr>
        <w:t xml:space="preserve">2. Theoretical Framework</w:t>
      </w:r>
    </w:p>
    <w:p>
      <w:pPr>
        <w:pStyle w:val="Heading2"/>
        <w:keepNext/>
        <w:spacing w:after="120" w:before="300"/>
      </w:pPr>
      <w:r>
        <w:rPr>
          <w:b/>
          <w:bCs/>
          <w:color w:val="1A7A4A"/>
          <w:sz w:val="22"/>
          <w:szCs w:val="22"/>
        </w:rPr>
        <w:t xml:space="preserve">2.1 The fire triangle and suppression mechanisms</w:t>
      </w:r>
    </w:p>
    <w:p>
      <w:pPr>
        <w:spacing w:after="130" w:line="300"/>
        <w:jc w:val="both"/>
      </w:pPr>
      <w:r>
        <w:rPr>
          <w:color w:val="1A1F24"/>
          <w:sz w:val="21"/>
          <w:szCs w:val="21"/>
        </w:rPr>
        <w:t xml:space="preserve">Combustion can only continue when three elements are present simultaneously: fuel, oxygen and enough heat to sustain the ignition temperature. This triad is known in the fire safety literature as the “fire triangle”. Suppression rests on removing at least one corner of the triangle and proceeds through four principal mechanisms:</w:t>
      </w:r>
    </w:p>
    <w:p>
      <w:pPr>
        <w:pStyle w:val="ListParagraph"/>
        <w:numPr>
          <w:ilvl w:val="0"/>
          <w:numId w:val="2"/>
        </w:numPr>
        <w:spacing w:after="70" w:line="288"/>
      </w:pPr>
      <w:r>
        <w:rPr>
          <w:b/>
          <w:bCs/>
          <w:color w:val="1A1F24"/>
          <w:sz w:val="21"/>
          <w:szCs w:val="21"/>
        </w:rPr>
        <w:t xml:space="preserve">Cooling</w:t>
      </w:r>
      <w:r>
        <w:rPr>
          <w:color w:val="1A1F24"/>
          <w:sz w:val="21"/>
          <w:szCs w:val="21"/>
        </w:rPr>
        <w:t xml:space="preserve"> — drawing heat from the environment so that the temperature falls below the ignition point. Water and endothermically decomposing minerals work this way.</w:t>
      </w:r>
    </w:p>
    <w:p>
      <w:pPr>
        <w:pStyle w:val="ListParagraph"/>
        <w:numPr>
          <w:ilvl w:val="0"/>
          <w:numId w:val="2"/>
        </w:numPr>
        <w:spacing w:after="70" w:line="288"/>
      </w:pPr>
      <w:r>
        <w:rPr>
          <w:b/>
          <w:bCs/>
          <w:color w:val="1A1F24"/>
          <w:sz w:val="21"/>
          <w:szCs w:val="21"/>
        </w:rPr>
        <w:t xml:space="preserve">Smothering (oxygen dilution)</w:t>
      </w:r>
      <w:r>
        <w:rPr>
          <w:color w:val="1A1F24"/>
          <w:sz w:val="21"/>
          <w:szCs w:val="21"/>
        </w:rPr>
        <w:t xml:space="preserve"> — lowering the oxygen concentration around the flame. This is the operating principle of CO₂ and inert gas systems.</w:t>
      </w:r>
    </w:p>
    <w:p>
      <w:pPr>
        <w:pStyle w:val="ListParagraph"/>
        <w:numPr>
          <w:ilvl w:val="0"/>
          <w:numId w:val="2"/>
        </w:numPr>
        <w:spacing w:after="70" w:line="288"/>
      </w:pPr>
      <w:r>
        <w:rPr>
          <w:b/>
          <w:bCs/>
          <w:color w:val="1A1F24"/>
          <w:sz w:val="21"/>
          <w:szCs w:val="21"/>
        </w:rPr>
        <w:t xml:space="preserve">Fuel separation or blanketing</w:t>
      </w:r>
      <w:r>
        <w:rPr>
          <w:color w:val="1A1F24"/>
          <w:sz w:val="21"/>
          <w:szCs w:val="21"/>
        </w:rPr>
        <w:t xml:space="preserve"> — placing a physical barrier between the burning surface and oxygen. Foams and powders that form a fused layer behave in this way.</w:t>
      </w:r>
    </w:p>
    <w:p>
      <w:pPr>
        <w:pStyle w:val="ListParagraph"/>
        <w:numPr>
          <w:ilvl w:val="0"/>
          <w:numId w:val="2"/>
        </w:numPr>
        <w:spacing w:after="70" w:line="288"/>
      </w:pPr>
      <w:r>
        <w:rPr>
          <w:b/>
          <w:bCs/>
          <w:color w:val="1A1F24"/>
          <w:sz w:val="21"/>
          <w:szCs w:val="21"/>
        </w:rPr>
        <w:t xml:space="preserve">Chain reaction inhibition</w:t>
      </w:r>
      <w:r>
        <w:rPr>
          <w:color w:val="1A1F24"/>
          <w:sz w:val="21"/>
          <w:szCs w:val="21"/>
        </w:rPr>
        <w:t xml:space="preserve"> — chemically scavenging free radicals in the flame. This is the dominant mechanism of halogenated compounds.</w:t>
      </w:r>
    </w:p>
    <w:p>
      <w:pPr>
        <w:spacing w:after="80"/>
      </w:pPr>
    </w:p>
    <w:p>
      <w:pPr>
        <w:spacing w:after="130" w:line="300"/>
        <w:ind w:firstLine="340"/>
        <w:jc w:val="both"/>
      </w:pPr>
      <w:r>
        <w:rPr>
          <w:color w:val="1A1F24"/>
          <w:sz w:val="21"/>
          <w:szCs w:val="21"/>
        </w:rPr>
        <w:t xml:space="preserve">Most dry chemical powders on the market use only one or two of these mechanisms. The composition defined in this study aims to combine cooling, oxygen dilution and blanketing within a single powder.</w:t>
      </w:r>
    </w:p>
    <w:p>
      <w:pPr>
        <w:pStyle w:val="Heading2"/>
        <w:keepNext/>
        <w:spacing w:after="120" w:before="300"/>
      </w:pPr>
      <w:r>
        <w:rPr>
          <w:b/>
          <w:bCs/>
          <w:color w:val="1A7A4A"/>
          <w:sz w:val="22"/>
          <w:szCs w:val="22"/>
        </w:rPr>
        <w:t xml:space="preserve">2.2 Existing dry chemical powders and their limitations</w:t>
      </w:r>
    </w:p>
    <w:p>
      <w:pPr>
        <w:keepNext/>
        <w:spacing w:after="90" w:before="200"/>
      </w:pPr>
      <w:r>
        <w:rPr>
          <w:b/>
          <w:bCs/>
          <w:color w:val="0F4A2E"/>
          <w:sz w:val="18"/>
          <w:szCs w:val="18"/>
        </w:rPr>
        <w:t xml:space="preserve">Table 1. Common extinguishant types and their principal limitations</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1984"/>
        <w:gridCol w:w="1624"/>
        <w:gridCol w:w="2526"/>
        <w:gridCol w:w="2886"/>
      </w:tblGrid>
      <w:tr>
        <w:trPr>
          <w:tblHeader/>
        </w:trPr>
        <w:tc>
          <w:tcPr>
            <w:tcW w:type="dxa" w:w="198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Extinguishant</w:t>
            </w:r>
          </w:p>
        </w:tc>
        <w:tc>
          <w:tcPr>
            <w:tcW w:type="dxa" w:w="162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Effective classes</w:t>
            </w:r>
          </w:p>
        </w:tc>
        <w:tc>
          <w:tcPr>
            <w:tcW w:type="dxa" w:w="252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Dominant mechanism</w:t>
            </w:r>
          </w:p>
        </w:tc>
        <w:tc>
          <w:tcPr>
            <w:tcW w:type="dxa" w:w="288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Principal limitation</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ABC powder (monoammonium phosphate)</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 B, C</w:t>
            </w:r>
          </w:p>
        </w:tc>
        <w:tc>
          <w:tcPr>
            <w:tcW w:type="dxa" w:w="252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Blanketing + chain inhibition</w:t>
            </w:r>
          </w:p>
        </w:tc>
        <w:tc>
          <w:tcPr>
            <w:tcW w:type="dxa" w:w="288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Corrosion on metal surfaces; soil and water contamination; ineffective on class F</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BC powder (sodium bicarbonate)</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 C</w:t>
            </w:r>
          </w:p>
        </w:tc>
        <w:tc>
          <w:tcPr>
            <w:tcW w:type="dxa" w:w="252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Chain inhibition + partial cooling</w:t>
            </w:r>
          </w:p>
        </w:tc>
        <w:tc>
          <w:tcPr>
            <w:tcW w:type="dxa" w:w="288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Ineffective on class A; harmful residue</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Carbon dioxide (CO₂)</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 C</w:t>
            </w:r>
          </w:p>
        </w:tc>
        <w:tc>
          <w:tcPr>
            <w:tcW w:type="dxa" w:w="252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Oxygen dilution</w:t>
            </w:r>
          </w:p>
        </w:tc>
        <w:tc>
          <w:tcPr>
            <w:tcW w:type="dxa" w:w="288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Asphyxiation risk in enclosed volumes; limited cooling effect</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Halogenated compounds</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 B, C</w:t>
            </w:r>
          </w:p>
        </w:tc>
        <w:tc>
          <w:tcPr>
            <w:tcW w:type="dxa" w:w="252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Chain reaction inhibition</w:t>
            </w:r>
          </w:p>
        </w:tc>
        <w:tc>
          <w:tcPr>
            <w:tcW w:type="dxa" w:w="288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Ozone layer damage; restricted under the Montreal Protocol</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Water / foam</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 (B)</w:t>
            </w:r>
          </w:p>
        </w:tc>
        <w:tc>
          <w:tcPr>
            <w:tcW w:type="dxa" w:w="252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Cooling + blanketing</w:t>
            </w:r>
          </w:p>
        </w:tc>
        <w:tc>
          <w:tcPr>
            <w:tcW w:type="dxa" w:w="288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Hazardous on electrical and oil fires; may contain PFAS</w:t>
            </w:r>
          </w:p>
        </w:tc>
      </w:tr>
    </w:tbl>
    <w:p>
      <w:pPr>
        <w:spacing w:after="220" w:before="70"/>
      </w:pPr>
      <w:r>
        <w:rPr>
          <w:i/>
          <w:iCs/>
          <w:color w:val="6B7280"/>
          <w:sz w:val="16"/>
          <w:szCs w:val="16"/>
        </w:rPr>
        <w:t xml:space="preserve">Compiled on the basis of Kırtaş &amp; Altundağ (2023); Lee et al. (2021); EPA (2019).</w:t>
      </w:r>
    </w:p>
    <w:p>
      <w:pPr>
        <w:spacing w:after="130" w:line="300"/>
        <w:ind w:firstLine="340"/>
        <w:jc w:val="both"/>
      </w:pPr>
      <w:r>
        <w:rPr>
          <w:color w:val="1A1F24"/>
          <w:sz w:val="21"/>
          <w:szCs w:val="21"/>
        </w:rPr>
        <w:t xml:space="preserve">Two gaps stand out in Table 1. The first is class F, covering vegetable and animal cooking oil fires: ABC powder is not effective in this class, because without sufficient cooling of the hot oil re-ignition follows. The second is the absence of any option that keeps both the environmental and the health burden low; every product in the list imposes a serious cost on at least one axis.</w:t>
      </w:r>
    </w:p>
    <w:p>
      <w:pPr>
        <w:pStyle w:val="Heading2"/>
        <w:keepNext/>
        <w:spacing w:after="120" w:before="300"/>
      </w:pPr>
      <w:r>
        <w:rPr>
          <w:b/>
          <w:bCs/>
          <w:color w:val="1A7A4A"/>
          <w:sz w:val="22"/>
          <w:szCs w:val="22"/>
        </w:rPr>
        <w:t xml:space="preserve">2.3 Eggshell as a bio-waste resource</w:t>
      </w:r>
    </w:p>
    <w:p>
      <w:pPr>
        <w:spacing w:after="130" w:line="300"/>
        <w:jc w:val="both"/>
      </w:pPr>
      <w:r>
        <w:rPr>
          <w:color w:val="1A1F24"/>
          <w:sz w:val="21"/>
          <w:szCs w:val="21"/>
        </w:rPr>
        <w:t xml:space="preserve">Eggshell is a high-volume, low-value by-product of the food industry, most of whose mass is calcium carbonate (CaCO₃). Work on the use of calcium carbonate in fire suppression indicates that the release of carbon dioxide when the compound decomposes at high temperature is functionally useful for oxygen dilution (Miller &amp; Carter, 2022). Reviews of plant-based and naturally sourced retardants similarly note that mineral endothermic components offer an environmentally superior profile to synthetic alternatives (Anderson et al., 2023).</w:t>
      </w:r>
    </w:p>
    <w:p>
      <w:pPr>
        <w:spacing w:after="130" w:line="300"/>
        <w:ind w:firstLine="340"/>
        <w:jc w:val="both"/>
      </w:pPr>
      <w:r>
        <w:rPr>
          <w:color w:val="1A1F24"/>
          <w:sz w:val="21"/>
          <w:szCs w:val="21"/>
        </w:rPr>
        <w:t xml:space="preserve">Three considerations underlie the choice of eggshell as the principal component. The first is functional: CaCO₃ releases CO₂ at high temperature and so delivers the oxygen dilution mechanism. The second is economic: because the raw material comes from a waste stream its cost is low and its supply does not depend on imports. The third is environmental: a material that would otherwise be disposed of is converted into a safety product. Taken together, these make the product not only a fire solution but also a recycling application.</w:t>
      </w:r>
    </w:p>
    <w:p>
      <w:pPr>
        <w:pStyle w:val="Heading1"/>
        <w:keepNext/>
        <w:spacing w:after="160" w:before="400"/>
      </w:pPr>
      <w:r>
        <w:rPr>
          <w:b/>
          <w:bCs/>
          <w:color w:val="0F4A2E"/>
          <w:sz w:val="25"/>
          <w:szCs w:val="25"/>
        </w:rPr>
        <w:t xml:space="preserve">3. Materials and Methods</w:t>
      </w:r>
    </w:p>
    <w:p>
      <w:pPr>
        <w:pStyle w:val="Heading2"/>
        <w:keepNext/>
        <w:spacing w:after="120" w:before="300"/>
      </w:pPr>
      <w:r>
        <w:rPr>
          <w:b/>
          <w:bCs/>
          <w:color w:val="1A7A4A"/>
          <w:sz w:val="22"/>
          <w:szCs w:val="22"/>
        </w:rPr>
        <w:t xml:space="preserve">3.1 Formulation</w:t>
      </w:r>
    </w:p>
    <w:p>
      <w:pPr>
        <w:spacing w:after="130" w:line="300"/>
        <w:jc w:val="both"/>
      </w:pPr>
      <w:r>
        <w:rPr>
          <w:color w:val="1A1F24"/>
          <w:sz w:val="21"/>
          <w:szCs w:val="21"/>
        </w:rPr>
        <w:t xml:space="preserve">The composition developed and the mass ratios of its components are given in Table 2. The ratios are as defined in claim 1 of patent application 2025/021562.</w:t>
      </w:r>
    </w:p>
    <w:p>
      <w:pPr>
        <w:keepNext/>
        <w:spacing w:after="90" w:before="200"/>
      </w:pPr>
      <w:r>
        <w:rPr>
          <w:b/>
          <w:bCs/>
          <w:color w:val="0F4A2E"/>
          <w:sz w:val="18"/>
          <w:szCs w:val="18"/>
        </w:rPr>
        <w:t xml:space="preserve">Table 2. The ExtinGard composition and the function of each component</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2345"/>
        <w:gridCol w:w="902"/>
        <w:gridCol w:w="1624"/>
        <w:gridCol w:w="4149"/>
      </w:tblGrid>
      <w:tr>
        <w:trPr>
          <w:tblHeader/>
        </w:trPr>
        <w:tc>
          <w:tcPr>
            <w:tcW w:type="dxa" w:w="234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Component</w:t>
            </w:r>
          </w:p>
        </w:tc>
        <w:tc>
          <w:tcPr>
            <w:tcW w:type="dxa" w:w="902"/>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Ratio</w:t>
            </w:r>
          </w:p>
        </w:tc>
        <w:tc>
          <w:tcPr>
            <w:tcW w:type="dxa" w:w="162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Activation</w:t>
            </w:r>
          </w:p>
        </w:tc>
        <w:tc>
          <w:tcPr>
            <w:tcW w:type="dxa" w:w="4149"/>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Function</w:t>
            </w:r>
          </w:p>
        </w:tc>
      </w:tr>
      <w:tr>
        <w:tc>
          <w:tcPr>
            <w:tcW w:type="dxa" w:w="234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Eggshell (CaCO₃ source)</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50%</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~840 °C</w:t>
            </w:r>
          </w:p>
        </w:tc>
        <w:tc>
          <w:tcPr>
            <w:tcW w:type="dxa" w:w="4149"/>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Decomposes and releases CO₂; dilutes oxygen around the flame</w:t>
            </w:r>
          </w:p>
        </w:tc>
      </w:tr>
      <w:tr>
        <w:tc>
          <w:tcPr>
            <w:tcW w:type="dxa" w:w="234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Magnesium hydroxide, Mg(OH)₂</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20%</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~350 °C</w:t>
            </w:r>
          </w:p>
        </w:tc>
        <w:tc>
          <w:tcPr>
            <w:tcW w:type="dxa" w:w="4149"/>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Decomposes endothermically; absorbs heat and releases water vapour</w:t>
            </w:r>
          </w:p>
        </w:tc>
      </w:tr>
      <w:tr>
        <w:tc>
          <w:tcPr>
            <w:tcW w:type="dxa" w:w="234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Calcium hydroxide, Ca(OH)₂</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10%</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~512 °C</w:t>
            </w:r>
          </w:p>
        </w:tc>
        <w:tc>
          <w:tcPr>
            <w:tcW w:type="dxa" w:w="4149"/>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Activates at a higher temperature and sustains the cooling effect</w:t>
            </w:r>
          </w:p>
        </w:tc>
      </w:tr>
      <w:tr>
        <w:tc>
          <w:tcPr>
            <w:tcW w:type="dxa" w:w="234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Aluminium hydroxide, Al(OH)₃</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10%</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~200 °C</w:t>
            </w:r>
          </w:p>
        </w:tc>
        <w:tc>
          <w:tcPr>
            <w:tcW w:type="dxa" w:w="4149"/>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Releases water vapour; slows flame spread</w:t>
            </w:r>
          </w:p>
        </w:tc>
      </w:tr>
      <w:tr>
        <w:tc>
          <w:tcPr>
            <w:tcW w:type="dxa" w:w="234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Kaolin</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8%</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w:t>
            </w:r>
          </w:p>
        </w:tc>
        <w:tc>
          <w:tcPr>
            <w:tcW w:type="dxa" w:w="4149"/>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Forms a heat-resistant mineral blanket on the surface</w:t>
            </w:r>
          </w:p>
        </w:tc>
      </w:tr>
      <w:tr>
        <w:tc>
          <w:tcPr>
            <w:tcW w:type="dxa" w:w="234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Magnesium stearate</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2%</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w:t>
            </w:r>
          </w:p>
        </w:tc>
        <w:tc>
          <w:tcPr>
            <w:tcW w:type="dxa" w:w="4149"/>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Prevents caking and keeps the powder free-flowing</w:t>
            </w:r>
          </w:p>
        </w:tc>
      </w:tr>
    </w:tbl>
    <w:p>
      <w:pPr>
        <w:spacing w:after="220" w:before="70"/>
      </w:pPr>
      <w:r>
        <w:rPr>
          <w:i/>
          <w:iCs/>
          <w:color w:val="6B7280"/>
          <w:sz w:val="16"/>
          <w:szCs w:val="16"/>
        </w:rPr>
        <w:t xml:space="preserve">Activation temperatures are literature values for the pure compounds; the thermal behaviour of the blend was not measured in this study (see Section 5.5).</w:t>
      </w:r>
    </w:p>
    <w:p>
      <w:pPr>
        <w:spacing w:after="130" w:line="300"/>
        <w:ind w:firstLine="340"/>
        <w:jc w:val="both"/>
      </w:pPr>
      <w:r>
        <w:rPr>
          <w:color w:val="1A1F24"/>
          <w:sz w:val="21"/>
          <w:szCs w:val="21"/>
        </w:rPr>
        <w:t xml:space="preserve">The design logic of the composition rests on the components activating at </w:t>
      </w:r>
      <w:r>
        <w:rPr>
          <w:b/>
          <w:bCs/>
          <w:color w:val="1A1F24"/>
          <w:sz w:val="21"/>
          <w:szCs w:val="21"/>
        </w:rPr>
        <w:t xml:space="preserve">different temperatures</w:t>
      </w:r>
      <w:r>
        <w:rPr>
          <w:color w:val="1A1F24"/>
          <w:sz w:val="21"/>
          <w:szCs w:val="21"/>
        </w:rPr>
        <w:t xml:space="preserve">. The suppression effect is therefore spread across the stages of the fire rather than concentrated in a single moment: Al(OH)₃ contributes at low temperature, Mg(OH)₂ at intermediate temperature, Ca(OH)₂ higher still and CaCO₃ at the highest temperature.</w:t>
      </w:r>
    </w:p>
    <w:p>
      <w:pPr>
        <w:pStyle w:val="Heading2"/>
        <w:keepNext/>
        <w:spacing w:after="120" w:before="300"/>
      </w:pPr>
      <w:r>
        <w:rPr>
          <w:b/>
          <w:bCs/>
          <w:color w:val="1A7A4A"/>
          <w:sz w:val="22"/>
          <w:szCs w:val="22"/>
        </w:rPr>
        <w:t xml:space="preserve">3.2 Production protocol</w:t>
      </w:r>
    </w:p>
    <w:p>
      <w:pPr>
        <w:spacing w:after="130" w:line="300"/>
        <w:jc w:val="both"/>
      </w:pPr>
      <w:r>
        <w:rPr>
          <w:color w:val="1A1F24"/>
          <w:sz w:val="21"/>
          <w:szCs w:val="21"/>
        </w:rPr>
        <w:t xml:space="preserve">Production consists of four steps, all of which can be carried out with standard laboratory equipment:</w:t>
      </w:r>
    </w:p>
    <w:p>
      <w:pPr>
        <w:pStyle w:val="ListParagraph"/>
        <w:numPr>
          <w:ilvl w:val="0"/>
          <w:numId w:val="3"/>
        </w:numPr>
        <w:spacing w:after="70" w:line="288"/>
      </w:pPr>
      <w:r>
        <w:rPr>
          <w:b/>
          <w:bCs/>
          <w:color w:val="1A1F24"/>
          <w:sz w:val="21"/>
          <w:szCs w:val="21"/>
        </w:rPr>
        <w:t xml:space="preserve">Cleaning.</w:t>
      </w:r>
      <w:r>
        <w:rPr>
          <w:color w:val="1A1F24"/>
          <w:sz w:val="21"/>
          <w:szCs w:val="21"/>
        </w:rPr>
        <w:t xml:space="preserve"> Recycled eggshells are separated from their inner membranes and cleaned of organic residue.</w:t>
      </w:r>
    </w:p>
    <w:p>
      <w:pPr>
        <w:pStyle w:val="ListParagraph"/>
        <w:numPr>
          <w:ilvl w:val="0"/>
          <w:numId w:val="3"/>
        </w:numPr>
        <w:spacing w:after="70" w:line="288"/>
      </w:pPr>
      <w:r>
        <w:rPr>
          <w:b/>
          <w:bCs/>
          <w:color w:val="1A1F24"/>
          <w:sz w:val="21"/>
          <w:szCs w:val="21"/>
        </w:rPr>
        <w:t xml:space="preserve">Drying.</w:t>
      </w:r>
      <w:r>
        <w:rPr>
          <w:color w:val="1A1F24"/>
          <w:sz w:val="21"/>
          <w:szCs w:val="21"/>
        </w:rPr>
        <w:t xml:space="preserve"> The cleaned shells are dried with the moisture content kept under control. This step governs both milling efficiency and the shelf life of the final product.</w:t>
      </w:r>
    </w:p>
    <w:p>
      <w:pPr>
        <w:pStyle w:val="ListParagraph"/>
        <w:numPr>
          <w:ilvl w:val="0"/>
          <w:numId w:val="3"/>
        </w:numPr>
        <w:spacing w:after="70" w:line="288"/>
      </w:pPr>
      <w:r>
        <w:rPr>
          <w:b/>
          <w:bCs/>
          <w:color w:val="1A1F24"/>
          <w:sz w:val="21"/>
          <w:szCs w:val="21"/>
        </w:rPr>
        <w:t xml:space="preserve">Milling.</w:t>
      </w:r>
      <w:r>
        <w:rPr>
          <w:color w:val="1A1F24"/>
          <w:sz w:val="21"/>
          <w:szCs w:val="21"/>
        </w:rPr>
        <w:t xml:space="preserve"> The dried shells are milled together with kaolin into a fine powder. Co-milling the kaolin at this stage improves the homogeneity of the mixture.</w:t>
      </w:r>
    </w:p>
    <w:p>
      <w:pPr>
        <w:pStyle w:val="ListParagraph"/>
        <w:numPr>
          <w:ilvl w:val="0"/>
          <w:numId w:val="3"/>
        </w:numPr>
        <w:spacing w:after="70" w:line="288"/>
      </w:pPr>
      <w:r>
        <w:rPr>
          <w:b/>
          <w:bCs/>
          <w:color w:val="1A1F24"/>
          <w:sz w:val="21"/>
          <w:szCs w:val="21"/>
        </w:rPr>
        <w:t xml:space="preserve">Mixing and sieving.</w:t>
      </w:r>
      <w:r>
        <w:rPr>
          <w:color w:val="1A1F24"/>
          <w:sz w:val="21"/>
          <w:szCs w:val="21"/>
        </w:rPr>
        <w:t xml:space="preserve"> Mg(OH)₂, Ca(OH)₂, Al(OH)₃ and magnesium stearate are added at the ratios given in Table 2 and the mixture is sieved until it is visually homogeneous.</w:t>
      </w:r>
    </w:p>
    <w:p>
      <w:pPr>
        <w:spacing w:after="80"/>
      </w:pPr>
    </w:p>
    <w:p>
      <w:pPr>
        <w:spacing w:after="130" w:line="300"/>
        <w:ind w:firstLine="340"/>
        <w:jc w:val="both"/>
      </w:pPr>
      <w:r>
        <w:rPr>
          <w:color w:val="1A1F24"/>
          <w:sz w:val="21"/>
          <w:szCs w:val="21"/>
        </w:rPr>
        <w:t xml:space="preserve">The entire protocol can be executed with simple equipment. This means that moving to pilot scale requires no change of process other than replacing the milling and sieving steps with their industrial equivalents. All raw material is sourced domestically, so the supply chain does not depend on imports.</w:t>
      </w:r>
    </w:p>
    <w:p>
      <w:pPr>
        <w:pStyle w:val="Heading2"/>
        <w:keepNext/>
        <w:spacing w:after="120" w:before="300"/>
      </w:pPr>
      <w:r>
        <w:rPr>
          <w:b/>
          <w:bCs/>
          <w:color w:val="1A7A4A"/>
          <w:sz w:val="22"/>
          <w:szCs w:val="22"/>
        </w:rPr>
        <w:t xml:space="preserve">3.3 Experimental set-up and measured parameters</w:t>
      </w:r>
    </w:p>
    <w:p>
      <w:pPr>
        <w:spacing w:after="130" w:line="300"/>
        <w:jc w:val="both"/>
      </w:pPr>
      <w:r>
        <w:rPr>
          <w:color w:val="1A1F24"/>
          <w:sz w:val="21"/>
          <w:szCs w:val="21"/>
        </w:rPr>
        <w:t xml:space="preserve">Suppression performance was tested on seven combustible materials chosen to represent four fire classes. Material selection was guided both by class representation and by how frequently the material is encountered in real use scenarios: paper/cardboard, cotton and polyester fabric for class A; paint thinner and petrol for class B; LPG for class C; and liquid vegetable oil for class F.</w:t>
      </w:r>
    </w:p>
    <w:p>
      <w:pPr>
        <w:spacing w:after="130" w:line="300"/>
        <w:ind w:firstLine="340"/>
        <w:jc w:val="both"/>
      </w:pPr>
      <w:r>
        <w:rPr>
          <w:color w:val="1A1F24"/>
          <w:sz w:val="21"/>
          <w:szCs w:val="21"/>
        </w:rPr>
        <w:t xml:space="preserve">Experiments were carried out under laboratory conditions and under controlled open-air conditions, with a fixed quantity of powder used in each trial. The parameters recorded were:</w:t>
      </w:r>
    </w:p>
    <w:p>
      <w:pPr>
        <w:pStyle w:val="ListParagraph"/>
        <w:numPr>
          <w:ilvl w:val="0"/>
          <w:numId w:val="2"/>
        </w:numPr>
        <w:spacing w:after="70" w:line="288"/>
      </w:pPr>
      <w:r>
        <w:rPr>
          <w:b/>
          <w:bCs/>
          <w:color w:val="1A1F24"/>
          <w:sz w:val="21"/>
          <w:szCs w:val="21"/>
        </w:rPr>
        <w:t xml:space="preserve">Extinguishing time</w:t>
      </w:r>
      <w:r>
        <w:rPr>
          <w:color w:val="1A1F24"/>
          <w:sz w:val="21"/>
          <w:szCs w:val="21"/>
        </w:rPr>
        <w:t xml:space="preserve"> — the interval from the start of powder application to complete extinction of the flame.</w:t>
      </w:r>
    </w:p>
    <w:p>
      <w:pPr>
        <w:pStyle w:val="ListParagraph"/>
        <w:numPr>
          <w:ilvl w:val="0"/>
          <w:numId w:val="2"/>
        </w:numPr>
        <w:spacing w:after="70" w:line="288"/>
      </w:pPr>
      <w:r>
        <w:rPr>
          <w:b/>
          <w:bCs/>
          <w:color w:val="1A1F24"/>
          <w:sz w:val="21"/>
          <w:szCs w:val="21"/>
        </w:rPr>
        <w:t xml:space="preserve">Flame spread rate</w:t>
      </w:r>
      <w:r>
        <w:rPr>
          <w:color w:val="1A1F24"/>
          <w:sz w:val="21"/>
          <w:szCs w:val="21"/>
        </w:rPr>
        <w:t xml:space="preserve"> — the spreading behaviour of the flame before and during application.</w:t>
      </w:r>
    </w:p>
    <w:p>
      <w:pPr>
        <w:pStyle w:val="ListParagraph"/>
        <w:numPr>
          <w:ilvl w:val="0"/>
          <w:numId w:val="2"/>
        </w:numPr>
        <w:spacing w:after="70" w:line="288"/>
      </w:pPr>
      <w:r>
        <w:rPr>
          <w:b/>
          <w:bCs/>
          <w:color w:val="1A1F24"/>
          <w:sz w:val="21"/>
          <w:szCs w:val="21"/>
        </w:rPr>
        <w:t xml:space="preserve">Re-ignition</w:t>
      </w:r>
      <w:r>
        <w:rPr>
          <w:color w:val="1A1F24"/>
          <w:sz w:val="21"/>
          <w:szCs w:val="21"/>
        </w:rPr>
        <w:t xml:space="preserve"> — whether ignition recurred within the observation period following suppression.</w:t>
      </w:r>
    </w:p>
    <w:p>
      <w:pPr>
        <w:pStyle w:val="ListParagraph"/>
        <w:numPr>
          <w:ilvl w:val="0"/>
          <w:numId w:val="2"/>
        </w:numPr>
        <w:spacing w:after="70" w:line="288"/>
      </w:pPr>
      <w:r>
        <w:rPr>
          <w:b/>
          <w:bCs/>
          <w:color w:val="1A1F24"/>
          <w:sz w:val="21"/>
          <w:szCs w:val="21"/>
        </w:rPr>
        <w:t xml:space="preserve">Surface residue</w:t>
      </w:r>
      <w:r>
        <w:rPr>
          <w:color w:val="1A1F24"/>
          <w:sz w:val="21"/>
          <w:szCs w:val="21"/>
        </w:rPr>
        <w:t xml:space="preserve"> — the nature of the powder remaining on the surface after suppression and how readily it could be cleaned.</w:t>
      </w:r>
    </w:p>
    <w:p>
      <w:pPr>
        <w:spacing w:after="80"/>
      </w:pPr>
    </w:p>
    <w:p>
      <w:pPr>
        <w:spacing w:after="130" w:line="300"/>
        <w:ind w:firstLine="340"/>
        <w:jc w:val="both"/>
      </w:pPr>
      <w:r>
        <w:rPr>
          <w:color w:val="1A1F24"/>
          <w:sz w:val="21"/>
          <w:szCs w:val="21"/>
        </w:rPr>
        <w:t xml:space="preserve">Each material was tested more than once and most trials were recorded on video as evidence of reproducibility. Field trials were conducted jointly with the Bursa Fire Department Search, Rescue and Response Units; in these trials extinguishing time, flame spread rate, CO₂ release and safety impact were assessed under professional observation.</w:t>
      </w:r>
    </w:p>
    <w:tbl>
      <w:tblPr>
        <w:tblW w:type="dxa" w:w="9020"/>
        <w:tblBorders>
          <w:top w:val="single" w:color="D3DAD6" w:sz="2"/>
          <w:left w:val="single" w:color="D89A22" w:sz="18"/>
          <w:bottom w:val="single" w:color="D3DAD6" w:sz="2"/>
          <w:right w:val="single" w:color="D3DAD6" w:sz="2"/>
          <w:insideH w:val="none"/>
          <w:insideV w:val="none"/>
        </w:tblBorders>
      </w:tblPr>
      <w:tblGrid>
        <w:gridCol w:w="9020"/>
      </w:tblGrid>
      <w:tr>
        <w:tc>
          <w:tcPr>
            <w:tcW w:type="dxa" w:w="9020"/>
            <w:shd w:fill="FFF8EC" w:color="auto" w:val="clear"/>
            <w:tcMar>
              <w:top w:type="dxa" w:w="150"/>
              <w:left w:type="dxa" w:w="190"/>
              <w:bottom w:type="dxa" w:w="150"/>
              <w:right w:type="dxa" w:w="160"/>
            </w:tcMar>
          </w:tcPr>
          <w:p>
            <w:pPr>
              <w:spacing w:after="60"/>
            </w:pPr>
            <w:r>
              <w:rPr>
                <w:b/>
                <w:bCs/>
                <w:color w:val="B4610D"/>
                <w:sz w:val="16"/>
                <w:szCs w:val="16"/>
              </w:rPr>
              <w:t xml:space="preserve">TRANSPARENCY OF METHOD</w:t>
            </w:r>
          </w:p>
          <w:p>
            <w:pPr>
              <w:spacing w:after="0" w:line="276"/>
              <w:jc w:val="both"/>
            </w:pPr>
            <w:r>
              <w:rPr>
                <w:color w:val="333A3F"/>
                <w:sz w:val="19"/>
                <w:szCs w:val="19"/>
              </w:rPr>
              <w:t xml:space="preserve">The experiments were conducted with the research team's own means and with the support of the fire department. </w:t>
            </w:r>
            <w:r>
              <w:rPr>
                <w:b/>
                <w:bCs/>
                <w:color w:val="333A3F"/>
                <w:sz w:val="19"/>
                <w:szCs w:val="19"/>
              </w:rPr>
              <w:t xml:space="preserve">Certification testing under TS EN 615 has not yet been completed.</w:t>
            </w:r>
            <w:r>
              <w:rPr>
                <w:color w:val="333A3F"/>
                <w:sz w:val="19"/>
                <w:szCs w:val="19"/>
              </w:rPr>
              <w:t xml:space="preserve"> For this reason no standard fire rating (for example 21A or 113B) is claimed in this study; the results are presented as preliminary validation data.</w:t>
            </w:r>
          </w:p>
        </w:tc>
      </w:tr>
    </w:tbl>
    <w:p>
      <w:pPr>
        <w:spacing w:after="200"/>
      </w:pPr>
    </w:p>
    <w:p>
      <w:pPr>
        <w:pStyle w:val="Heading2"/>
        <w:keepNext/>
        <w:spacing w:after="120" w:before="300"/>
      </w:pPr>
      <w:r>
        <w:rPr>
          <w:b/>
          <w:bCs/>
          <w:color w:val="1A7A4A"/>
          <w:sz w:val="22"/>
          <w:szCs w:val="22"/>
        </w:rPr>
        <w:t xml:space="preserve">3.4 Cost calculation method</w:t>
      </w:r>
    </w:p>
    <w:p>
      <w:pPr>
        <w:spacing w:after="130" w:line="300"/>
        <w:jc w:val="both"/>
      </w:pPr>
      <w:r>
        <w:rPr>
          <w:color w:val="1A1F24"/>
          <w:sz w:val="21"/>
          <w:szCs w:val="21"/>
        </w:rPr>
        <w:t xml:space="preserve">Unit cost was calculated component by component from the mass ratios in Table 2. Because eggshell is obtained from a waste stream, its raw material cost covers only the collection, cleaning and drying labour. Comparison values were based on the retail prices of ABC and BC powder prevailing in the market over the same period. The calculation applies to laboratory scale; the possibility that unit cost changes at industrial scale is discussed in Section 5.5.</w:t>
      </w:r>
    </w:p>
    <w:p>
      <w:pPr>
        <w:pStyle w:val="Heading1"/>
        <w:keepNext/>
        <w:spacing w:after="160" w:before="400"/>
      </w:pPr>
      <w:r>
        <w:rPr>
          <w:b/>
          <w:bCs/>
          <w:color w:val="0F4A2E"/>
          <w:sz w:val="25"/>
          <w:szCs w:val="25"/>
        </w:rPr>
        <w:t xml:space="preserve">4. Results</w:t>
      </w:r>
    </w:p>
    <w:p>
      <w:pPr>
        <w:pStyle w:val="Heading2"/>
        <w:keepNext/>
        <w:spacing w:after="120" w:before="300"/>
      </w:pPr>
      <w:r>
        <w:rPr>
          <w:b/>
          <w:bCs/>
          <w:color w:val="1A7A4A"/>
          <w:sz w:val="22"/>
          <w:szCs w:val="22"/>
        </w:rPr>
        <w:t xml:space="preserve">4.1 Staged thermal decomposition</w:t>
      </w:r>
    </w:p>
    <w:p>
      <w:pPr>
        <w:spacing w:after="130" w:line="300"/>
        <w:jc w:val="both"/>
      </w:pPr>
      <w:r>
        <w:rPr>
          <w:color w:val="1A1F24"/>
          <w:sz w:val="21"/>
          <w:szCs w:val="21"/>
        </w:rPr>
        <w:t xml:space="preserve">The fundamental chemical phenomenon behind the suppression effect is a set of endothermic decomposition reactions that activate at specific temperatures. An endothermic reaction by definition draws heat from its surroundings and therefore cools the fire. The four reactions present in the composition and their temperature ranges are summarised in Table 3.</w:t>
      </w:r>
    </w:p>
    <w:p>
      <w:pPr>
        <w:keepNext/>
        <w:spacing w:after="90" w:before="200"/>
      </w:pPr>
      <w:r>
        <w:rPr>
          <w:b/>
          <w:bCs/>
          <w:color w:val="0F4A2E"/>
          <w:sz w:val="18"/>
          <w:szCs w:val="18"/>
        </w:rPr>
        <w:t xml:space="preserve">Table 3. Decomposition reactions of the components and their contribution to suppression</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1984"/>
        <w:gridCol w:w="2706"/>
        <w:gridCol w:w="1263"/>
        <w:gridCol w:w="3067"/>
      </w:tblGrid>
      <w:tr>
        <w:trPr>
          <w:tblHeader/>
        </w:trPr>
        <w:tc>
          <w:tcPr>
            <w:tcW w:type="dxa" w:w="198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Component</w:t>
            </w:r>
          </w:p>
        </w:tc>
        <w:tc>
          <w:tcPr>
            <w:tcW w:type="dxa" w:w="270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Reaction</w:t>
            </w:r>
          </w:p>
        </w:tc>
        <w:tc>
          <w:tcPr>
            <w:tcW w:type="dxa" w:w="1263"/>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Temperature</w:t>
            </w:r>
          </w:p>
        </w:tc>
        <w:tc>
          <w:tcPr>
            <w:tcW w:type="dxa" w:w="3067"/>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Contribution to suppression</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Aluminium hydroxide</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2 Al(OH)₃ → Al₂O₃ + 3 H₂O</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~200 °C</w:t>
            </w:r>
          </w:p>
        </w:tc>
        <w:tc>
          <w:tcPr>
            <w:tcW w:type="dxa" w:w="3067"/>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Water vapour released, flame diluted; Al₂O₃ contributes to the blanket</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Magnesium hydroxide</w:t>
            </w:r>
          </w:p>
        </w:tc>
        <w:tc>
          <w:tcPr>
            <w:tcW w:type="dxa" w:w="270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Mg(OH)₂ → MgO + H₂O</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~350 °C</w:t>
            </w:r>
          </w:p>
        </w:tc>
        <w:tc>
          <w:tcPr>
            <w:tcW w:type="dxa" w:w="3067"/>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Heat absorbed, environment cooled, water vapour released</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Calcium hydroxide</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Ca(OH)₂ → CaO + H₂O</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~512 °C</w:t>
            </w:r>
          </w:p>
        </w:tc>
        <w:tc>
          <w:tcPr>
            <w:tcW w:type="dxa" w:w="3067"/>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ΔH ≈ +109.5 kJ/mol; cooling continues at higher temperature</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Calcium carbonate</w:t>
            </w:r>
          </w:p>
        </w:tc>
        <w:tc>
          <w:tcPr>
            <w:tcW w:type="dxa" w:w="270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CaCO₃ → CaO + CO₂</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~840 °C</w:t>
            </w:r>
          </w:p>
        </w:tc>
        <w:tc>
          <w:tcPr>
            <w:tcW w:type="dxa" w:w="3067"/>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ΔH ≈ +178 kJ/mol; the released CO₂ dilutes oxygen</w:t>
            </w:r>
          </w:p>
        </w:tc>
      </w:tr>
    </w:tbl>
    <w:p>
      <w:pPr>
        <w:spacing w:after="220" w:before="70"/>
      </w:pPr>
      <w:r>
        <w:rPr>
          <w:i/>
          <w:iCs/>
          <w:color w:val="6B7280"/>
          <w:sz w:val="16"/>
          <w:szCs w:val="16"/>
        </w:rPr>
        <w:t xml:space="preserve">Enthalpy and temperature values are literature values for the pure compounds.</w:t>
      </w:r>
    </w:p>
    <w:p>
      <w:pPr>
        <w:spacing w:after="130" w:line="300"/>
        <w:ind w:firstLine="340"/>
        <w:jc w:val="both"/>
      </w:pPr>
      <w:r>
        <w:rPr>
          <w:color w:val="1A1F24"/>
          <w:sz w:val="21"/>
          <w:szCs w:val="21"/>
        </w:rPr>
        <w:t xml:space="preserve">The principal finding of Table 3 is not the individual reactions but the way they </w:t>
      </w:r>
      <w:r>
        <w:rPr>
          <w:b/>
          <w:bCs/>
          <w:color w:val="1A1F24"/>
          <w:sz w:val="21"/>
          <w:szCs w:val="21"/>
        </w:rPr>
        <w:t xml:space="preserve">follow one another along the temperature axis.</w:t>
      </w:r>
      <w:r>
        <w:rPr>
          <w:color w:val="1A1F24"/>
          <w:sz w:val="21"/>
          <w:szCs w:val="21"/>
        </w:rPr>
        <w:t xml:space="preserve"> Because of this staged sequence, running from roughly 200 °C to 840 °C, the suppression effect is distributed across the heating, growth and fully developed stages of a fire rather than being exhausted in a single moment. In addition, the decomposition products Al₂O₃, MgO and CaO are refractory oxides; together with kaolin they form a heat-resistant blanket on the burning surface that cuts contact between fuel and oxygen.</w:t>
      </w:r>
    </w:p>
    <w:p>
      <w:pPr>
        <w:pStyle w:val="Heading2"/>
        <w:keepNext/>
        <w:spacing w:after="120" w:before="300"/>
      </w:pPr>
      <w:r>
        <w:rPr>
          <w:b/>
          <w:bCs/>
          <w:color w:val="1A7A4A"/>
          <w:sz w:val="22"/>
          <w:szCs w:val="22"/>
        </w:rPr>
        <w:t xml:space="preserve">4.2 Suppression performance</w:t>
      </w:r>
    </w:p>
    <w:p>
      <w:pPr>
        <w:spacing w:after="130" w:line="300"/>
        <w:jc w:val="both"/>
      </w:pPr>
      <w:r>
        <w:rPr>
          <w:color w:val="1A1F24"/>
          <w:sz w:val="21"/>
          <w:szCs w:val="21"/>
        </w:rPr>
        <w:t xml:space="preserve">Complete extinction was observed on all seven combustible materials. The results and observations are given in Table 4.</w:t>
      </w:r>
    </w:p>
    <w:p>
      <w:pPr>
        <w:keepNext/>
        <w:spacing w:after="90" w:before="200"/>
      </w:pPr>
      <w:r>
        <w:rPr>
          <w:b/>
          <w:bCs/>
          <w:color w:val="0F4A2E"/>
          <w:sz w:val="18"/>
          <w:szCs w:val="18"/>
        </w:rPr>
        <w:t xml:space="preserve">Table 4. Suppression results by combustible material</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1984"/>
        <w:gridCol w:w="902"/>
        <w:gridCol w:w="1263"/>
        <w:gridCol w:w="4871"/>
      </w:tblGrid>
      <w:tr>
        <w:trPr>
          <w:tblHeader/>
        </w:trPr>
        <w:tc>
          <w:tcPr>
            <w:tcW w:type="dxa" w:w="198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Combustible material</w:t>
            </w:r>
          </w:p>
        </w:tc>
        <w:tc>
          <w:tcPr>
            <w:tcW w:type="dxa" w:w="902"/>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Class</w:t>
            </w:r>
          </w:p>
        </w:tc>
        <w:tc>
          <w:tcPr>
            <w:tcW w:type="dxa" w:w="1263"/>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Result</w:t>
            </w:r>
          </w:p>
        </w:tc>
        <w:tc>
          <w:tcPr>
            <w:tcW w:type="dxa" w:w="4871"/>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Observation</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Paper / cardboard</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Flame spread stopped as application began</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Cotton</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Rapid extinction observed</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Polyester fabric</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Effective suppression despite the synthetic structure</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Paint thinner</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Surface filming suppressed the flame in approximately 5 seconds</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Petrol</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Spread across the liquid surface prevented; extinguished in 6–8 seconds</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LPG</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Gas flame cut off in 3–4 seconds</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Liquid vegetable oil</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F</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Successful</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The oil surface was cooled and isolated; complete extinction achieved</w:t>
            </w:r>
          </w:p>
        </w:tc>
      </w:tr>
    </w:tbl>
    <w:p>
      <w:pPr>
        <w:spacing w:after="220" w:before="70"/>
      </w:pPr>
      <w:r>
        <w:rPr>
          <w:i/>
          <w:iCs/>
          <w:color w:val="6B7280"/>
          <w:sz w:val="16"/>
          <w:szCs w:val="16"/>
        </w:rPr>
        <w:t xml:space="preserve">The observed range of extinguishing times is 3–8 seconds. Times were determined from video recordings.</w:t>
      </w:r>
    </w:p>
    <w:p>
      <w:pPr>
        <w:spacing w:after="130" w:line="300"/>
        <w:ind w:firstLine="340"/>
        <w:jc w:val="both"/>
      </w:pPr>
      <w:r>
        <w:rPr>
          <w:color w:val="1A1F24"/>
          <w:sz w:val="21"/>
          <w:szCs w:val="21"/>
        </w:rPr>
        <w:t xml:space="preserve">Assessed by class, three findings stand out. In </w:t>
      </w:r>
      <w:r>
        <w:rPr>
          <w:b/>
          <w:bCs/>
          <w:color w:val="1A1F24"/>
          <w:sz w:val="21"/>
          <w:szCs w:val="21"/>
        </w:rPr>
        <w:t xml:space="preserve">class A</w:t>
      </w:r>
      <w:r>
        <w:rPr>
          <w:color w:val="1A1F24"/>
          <w:sz w:val="21"/>
          <w:szCs w:val="21"/>
        </w:rPr>
        <w:t xml:space="preserve">, the polyester fabric result is notable: effective suppression was observed despite the melting and dripping behaviour of synthetic fibres, which ordinarily makes suppression harder. In </w:t>
      </w:r>
      <w:r>
        <w:rPr>
          <w:b/>
          <w:bCs/>
          <w:color w:val="1A1F24"/>
          <w:sz w:val="21"/>
          <w:szCs w:val="21"/>
        </w:rPr>
        <w:t xml:space="preserve">class B</w:t>
      </w:r>
      <w:r>
        <w:rPr>
          <w:color w:val="1A1F24"/>
          <w:sz w:val="21"/>
          <w:szCs w:val="21"/>
        </w:rPr>
        <w:t xml:space="preserve">, the powder was seen to form a film on the liquid surface that prevented spread — a directly observable demonstration of the blanketing mechanism. In </w:t>
      </w:r>
      <w:r>
        <w:rPr>
          <w:b/>
          <w:bCs/>
          <w:color w:val="1A1F24"/>
          <w:sz w:val="21"/>
          <w:szCs w:val="21"/>
        </w:rPr>
        <w:t xml:space="preserve">class F</w:t>
      </w:r>
      <w:r>
        <w:rPr>
          <w:color w:val="1A1F24"/>
          <w:sz w:val="21"/>
          <w:szCs w:val="21"/>
        </w:rPr>
        <w:t xml:space="preserve">, complete extinction was achieved by cooling and isolating the oil surface, and no re-ignition was recorded within the observation period.</w:t>
      </w:r>
    </w:p>
    <w:p>
      <w:pPr>
        <w:pStyle w:val="Heading2"/>
        <w:keepNext/>
        <w:spacing w:after="120" w:before="300"/>
      </w:pPr>
      <w:r>
        <w:rPr>
          <w:b/>
          <w:bCs/>
          <w:color w:val="1A7A4A"/>
          <w:sz w:val="22"/>
          <w:szCs w:val="22"/>
        </w:rPr>
        <w:t xml:space="preserve">4.3 Field and institutional validation</w:t>
      </w:r>
    </w:p>
    <w:p>
      <w:pPr>
        <w:spacing w:after="130" w:line="300"/>
        <w:jc w:val="both"/>
      </w:pPr>
      <w:r>
        <w:rPr>
          <w:color w:val="1A1F24"/>
          <w:sz w:val="21"/>
          <w:szCs w:val="21"/>
        </w:rPr>
        <w:t xml:space="preserve">To test whether the laboratory findings also hold under field conditions, joint trials were conducted with the Bursa Fire Department Search, Rescue and Response Units. In these trials the product was applied under the observation of professional response crews, and extinguishing time, flame spread rate, CO₂ release and safety impact were assessed. Letter-of-intent discussions have begun regarding the use of the training ground for more extensive trials.</w:t>
      </w:r>
    </w:p>
    <w:p>
      <w:pPr>
        <w:spacing w:after="130" w:line="300"/>
        <w:ind w:firstLine="340"/>
        <w:jc w:val="both"/>
      </w:pPr>
      <w:r>
        <w:rPr>
          <w:color w:val="1A1F24"/>
          <w:sz w:val="21"/>
          <w:szCs w:val="21"/>
        </w:rPr>
        <w:t xml:space="preserve">The product has additionally passed through two independent institutional assessments. Second prize in the health category was awarded at the 10th Science and Ideas Festival of Üsküdar University, and a business model and intellectual property strategy review was carried out under the T3 Entrepreneurship Centre DENEYAP Entrepreneurship Programme. These assessments do not substitute for scientific peer review, but they do show that the product has been examined outside the laboratory.</w:t>
      </w:r>
    </w:p>
    <w:p>
      <w:pPr>
        <w:pStyle w:val="Heading2"/>
        <w:keepNext/>
        <w:spacing w:after="120" w:before="300"/>
      </w:pPr>
      <w:r>
        <w:rPr>
          <w:b/>
          <w:bCs/>
          <w:color w:val="1A7A4A"/>
          <w:sz w:val="22"/>
          <w:szCs w:val="22"/>
        </w:rPr>
        <w:t xml:space="preserve">4.4 Unit cost</w:t>
      </w:r>
    </w:p>
    <w:p>
      <w:pPr>
        <w:spacing w:after="130" w:line="300"/>
        <w:jc w:val="both"/>
      </w:pPr>
      <w:r>
        <w:rPr>
          <w:color w:val="1A1F24"/>
          <w:sz w:val="21"/>
          <w:szCs w:val="21"/>
        </w:rPr>
        <w:t xml:space="preserve">The unit cost calculated at laboratory scale is 0.0497 TL/g. The market comparison is given in Table 5.</w:t>
      </w:r>
    </w:p>
    <w:p>
      <w:pPr>
        <w:keepNext/>
        <w:spacing w:after="90" w:before="200"/>
      </w:pPr>
      <w:r>
        <w:rPr>
          <w:b/>
          <w:bCs/>
          <w:color w:val="0F4A2E"/>
          <w:sz w:val="18"/>
          <w:szCs w:val="18"/>
        </w:rPr>
        <w:t xml:space="preserve">Table 5. Unit cost and attribute comparison</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2165"/>
        <w:gridCol w:w="2345"/>
        <w:gridCol w:w="2255"/>
        <w:gridCol w:w="2255"/>
      </w:tblGrid>
      <w:tr>
        <w:trPr>
          <w:tblHeader/>
        </w:trPr>
        <w:tc>
          <w:tcPr>
            <w:tcW w:type="dxa" w:w="216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Criterion</w:t>
            </w:r>
          </w:p>
        </w:tc>
        <w:tc>
          <w:tcPr>
            <w:tcW w:type="dxa" w:w="234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ExtinGard</w:t>
            </w:r>
          </w:p>
        </w:tc>
        <w:tc>
          <w:tcPr>
            <w:tcW w:type="dxa" w:w="225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BC powder (NaHCO₃)</w:t>
            </w:r>
          </w:p>
        </w:tc>
        <w:tc>
          <w:tcPr>
            <w:tcW w:type="dxa" w:w="225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ABC powder (MAP)</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Effective fire classes</w:t>
            </w:r>
          </w:p>
        </w:tc>
        <w:tc>
          <w:tcPr>
            <w:tcW w:type="dxa" w:w="234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A, B, C, F</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 C</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A, B, C (ineffective on F)</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Unit cost</w:t>
            </w:r>
          </w:p>
        </w:tc>
        <w:tc>
          <w:tcPr>
            <w:tcW w:type="dxa" w:w="234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0.0497 TL/g</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0.12 – 0.15 TL/g</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0.25 – 0.30 TL/g</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Relative cost</w:t>
            </w:r>
          </w:p>
        </w:tc>
        <w:tc>
          <w:tcPr>
            <w:tcW w:type="dxa" w:w="234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1×</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 3×</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 5–6×</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Residue</w:t>
            </w:r>
          </w:p>
        </w:tc>
        <w:tc>
          <w:tcPr>
            <w:tcW w:type="dxa" w:w="234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Biodegradable, leaves no residue</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Harmful residue</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Residue harmful to soil and water</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Health effect</w:t>
            </w:r>
          </w:p>
        </w:tc>
        <w:tc>
          <w:tcPr>
            <w:tcW w:type="dxa" w:w="234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Releases no toxic gas</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Respiratory and dermal irritation</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Respiratory and dermal irritation</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Raw material source</w:t>
            </w:r>
          </w:p>
        </w:tc>
        <w:tc>
          <w:tcPr>
            <w:tcW w:type="dxa" w:w="234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100% domestic, bio-waste</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Largely imported</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Largely imported</w:t>
            </w:r>
          </w:p>
        </w:tc>
      </w:tr>
    </w:tbl>
    <w:p>
      <w:pPr>
        <w:spacing w:after="220" w:before="70"/>
      </w:pPr>
      <w:r>
        <w:rPr>
          <w:i/>
          <w:iCs/>
          <w:color w:val="6B7280"/>
          <w:sz w:val="16"/>
          <w:szCs w:val="16"/>
        </w:rPr>
        <w:t xml:space="preserve">Cost figures apply to laboratory scale and to market prices in the comparison period.</w:t>
      </w:r>
    </w:p>
    <w:p>
      <w:pPr>
        <w:spacing w:after="130" w:line="300"/>
        <w:ind w:firstLine="340"/>
        <w:jc w:val="both"/>
      </w:pPr>
      <w:r>
        <w:rPr>
          <w:color w:val="1A1F24"/>
          <w:sz w:val="21"/>
          <w:szCs w:val="21"/>
        </w:rPr>
        <w:t xml:space="preserve">Assuming annual consumption of one tonne and taking the midpoint of the ABC powder range (0.275 TL/g), a saving of approximately 225,000 TL (about 82%) against ABC powder is calculated. The practical meaning of this saving is less about price than about </w:t>
      </w:r>
      <w:r>
        <w:rPr>
          <w:b/>
          <w:bCs/>
          <w:color w:val="1A1F24"/>
          <w:sz w:val="21"/>
          <w:szCs w:val="21"/>
        </w:rPr>
        <w:t xml:space="preserve">accessibility</w:t>
      </w:r>
      <w:r>
        <w:rPr>
          <w:color w:val="1A1F24"/>
          <w:sz w:val="21"/>
          <w:szCs w:val="21"/>
        </w:rPr>
        <w:t xml:space="preserve">: for public institutions and municipalities that need to hold large stocks, the economic threshold falls markedly. Sourcing the raw material domestically also removes the cost risk associated with exchange rate movements.</w:t>
      </w:r>
    </w:p>
    <w:p>
      <w:pPr>
        <w:pStyle w:val="Heading1"/>
        <w:keepNext/>
        <w:spacing w:after="160" w:before="400"/>
      </w:pPr>
      <w:r>
        <w:rPr>
          <w:b/>
          <w:bCs/>
          <w:color w:val="0F4A2E"/>
          <w:sz w:val="25"/>
          <w:szCs w:val="25"/>
        </w:rPr>
        <w:t xml:space="preserve">5. Discussion</w:t>
      </w:r>
    </w:p>
    <w:p>
      <w:pPr>
        <w:pStyle w:val="Heading2"/>
        <w:keepNext/>
        <w:spacing w:after="120" w:before="300"/>
      </w:pPr>
      <w:r>
        <w:rPr>
          <w:b/>
          <w:bCs/>
          <w:color w:val="1A7A4A"/>
          <w:sz w:val="22"/>
          <w:szCs w:val="22"/>
        </w:rPr>
        <w:t xml:space="preserve">5.1 The functional significance of staged activation</w:t>
      </w:r>
    </w:p>
    <w:p>
      <w:pPr>
        <w:spacing w:after="130" w:line="300"/>
        <w:jc w:val="both"/>
      </w:pPr>
      <w:r>
        <w:rPr>
          <w:color w:val="1A1F24"/>
          <w:sz w:val="21"/>
          <w:szCs w:val="21"/>
        </w:rPr>
        <w:t xml:space="preserve">The most decisive aspect of the findings is not the performance of individual components but the </w:t>
      </w:r>
      <w:r>
        <w:rPr>
          <w:b/>
          <w:bCs/>
          <w:color w:val="1A1F24"/>
          <w:sz w:val="21"/>
          <w:szCs w:val="21"/>
        </w:rPr>
        <w:t xml:space="preserve">temperature-distributed</w:t>
      </w:r>
      <w:r>
        <w:rPr>
          <w:color w:val="1A1F24"/>
          <w:sz w:val="21"/>
          <w:szCs w:val="21"/>
        </w:rPr>
        <w:t xml:space="preserve"> behaviour of the composition. A powder containing a single endothermic component absorbs heat once its activation temperature is reached, but that effect is exhausted quickly, and if the temperature rises again the agent becomes ineffective. The four-step sequence in Table 3 is intended to remove that limitation: as one component is consumed, the next comes into play.</w:t>
      </w:r>
    </w:p>
    <w:p>
      <w:pPr>
        <w:spacing w:after="130" w:line="300"/>
        <w:ind w:firstLine="340"/>
        <w:jc w:val="both"/>
      </w:pPr>
      <w:r>
        <w:rPr>
          <w:color w:val="1A1F24"/>
          <w:sz w:val="21"/>
          <w:szCs w:val="21"/>
        </w:rPr>
        <w:t xml:space="preserve">It must nevertheless be acknowledged that the components do not contribute equally within this mechanism. The decomposition temperature of CaCO₃, at roughly 840 °C, is above the temperature reached in the powder-application zone of many class A fires. The contribution of the oxygen dilution mechanism is therefore expected to become significant in high-temperature regions and in fully developed fires, while under low and intermediate temperature conditions the dominant effect should come from the cooling and blanket formation provided by Al(OH)₃ and Mg(OH)₂. Measuring this distinction experimentally is a priority for the continuation of this work.</w:t>
      </w:r>
    </w:p>
    <w:p>
      <w:pPr>
        <w:pStyle w:val="Heading2"/>
        <w:keepNext/>
        <w:spacing w:after="120" w:before="300"/>
      </w:pPr>
      <w:r>
        <w:rPr>
          <w:b/>
          <w:bCs/>
          <w:color w:val="1A7A4A"/>
          <w:sz w:val="22"/>
          <w:szCs w:val="22"/>
        </w:rPr>
        <w:t xml:space="preserve">5.2 The significance of the class F result</w:t>
      </w:r>
    </w:p>
    <w:p>
      <w:pPr>
        <w:spacing w:after="130" w:line="300"/>
        <w:jc w:val="both"/>
      </w:pPr>
      <w:r>
        <w:rPr>
          <w:color w:val="1A1F24"/>
          <w:sz w:val="21"/>
          <w:szCs w:val="21"/>
        </w:rPr>
        <w:t xml:space="preserve">In application terms the most valuable finding of the study is the class F result. ABC powder, the most widely used product on the market, is not effective in this class; because hot vegetable oil is not cooled sufficiently, re-ignition is frequently observed after the powder is applied. The behaviour observed with ExtinGard — cooling of the oil surface and formation of a blanket over it — is the direct consequence of two mechanisms working together.</w:t>
      </w:r>
    </w:p>
    <w:p>
      <w:pPr>
        <w:spacing w:after="130" w:line="300"/>
        <w:ind w:firstLine="340"/>
        <w:jc w:val="both"/>
      </w:pPr>
      <w:r>
        <w:rPr>
          <w:color w:val="1A1F24"/>
          <w:sz w:val="21"/>
          <w:szCs w:val="21"/>
        </w:rPr>
        <w:t xml:space="preserve">The practical significance is considerable: kitchen fires account for a substantial share of residential and commercial fire statistics and represent a gap that current general-purpose extinguishers do not close. A single extinguishant covering classes A, B, C and F together carries the potential to reduce equipment variety, particularly in residential and communal settings. Converting that potential into a commercial claim, however, depends on completing the standard tests set out in Section 5.5.</w:t>
      </w:r>
    </w:p>
    <w:p>
      <w:pPr>
        <w:pStyle w:val="Heading2"/>
        <w:keepNext/>
        <w:spacing w:after="120" w:before="300"/>
      </w:pPr>
      <w:r>
        <w:rPr>
          <w:b/>
          <w:bCs/>
          <w:color w:val="1A7A4A"/>
          <w:sz w:val="22"/>
          <w:szCs w:val="22"/>
        </w:rPr>
        <w:t xml:space="preserve">5.3 Environmental and health dimension</w:t>
      </w:r>
    </w:p>
    <w:p>
      <w:pPr>
        <w:spacing w:after="130" w:line="300"/>
        <w:jc w:val="both"/>
      </w:pPr>
      <w:r>
        <w:rPr>
          <w:color w:val="1A1F24"/>
          <w:sz w:val="21"/>
          <w:szCs w:val="21"/>
        </w:rPr>
        <w:t xml:space="preserve">Every substance in the composition is naturally sourced, and the formulation contains no PFAS or halogenated components. The decomposition products — Al₂O₃, MgO, CaO, CO₂ and water vapour — are known, non-toxic substances, so a more favourable profile for use in enclosed volumes is expected than for halogenated systems or high-concentration CO₂ systems.</w:t>
      </w:r>
    </w:p>
    <w:p>
      <w:pPr>
        <w:spacing w:after="130" w:line="300"/>
        <w:ind w:firstLine="340"/>
        <w:jc w:val="both"/>
      </w:pPr>
      <w:r>
        <w:rPr>
          <w:color w:val="1A1F24"/>
          <w:sz w:val="21"/>
          <w:szCs w:val="21"/>
        </w:rPr>
        <w:t xml:space="preserve">The difference is also meaningful in terms of post-suppression residue. Monoammonium phosphate powders leave an acidic residue that, in combination with moisture, can cause corrosion on metal surfaces; cleaning that residue is often more costly than the fire itself. The residue of ExtinGard, by contrast, is mineral in nature and consists of compounds naturally present in soil.</w:t>
      </w:r>
    </w:p>
    <w:tbl>
      <w:tblPr>
        <w:tblW w:type="dxa" w:w="9020"/>
        <w:tblBorders>
          <w:top w:val="single" w:color="D3DAD6" w:sz="2"/>
          <w:left w:val="single" w:color="D89A22" w:sz="18"/>
          <w:bottom w:val="single" w:color="D3DAD6" w:sz="2"/>
          <w:right w:val="single" w:color="D3DAD6" w:sz="2"/>
          <w:insideH w:val="none"/>
          <w:insideV w:val="none"/>
        </w:tblBorders>
      </w:tblPr>
      <w:tblGrid>
        <w:gridCol w:w="9020"/>
      </w:tblGrid>
      <w:tr>
        <w:tc>
          <w:tcPr>
            <w:tcW w:type="dxa" w:w="9020"/>
            <w:shd w:fill="FFF8EC" w:color="auto" w:val="clear"/>
            <w:tcMar>
              <w:top w:type="dxa" w:w="150"/>
              <w:left w:type="dxa" w:w="190"/>
              <w:bottom w:type="dxa" w:w="150"/>
              <w:right w:type="dxa" w:w="160"/>
            </w:tcMar>
          </w:tcPr>
          <w:p>
            <w:pPr>
              <w:spacing w:after="60"/>
            </w:pPr>
            <w:r>
              <w:rPr>
                <w:b/>
                <w:bCs/>
                <w:color w:val="B4610D"/>
                <w:sz w:val="16"/>
                <w:szCs w:val="16"/>
              </w:rPr>
              <w:t xml:space="preserve">A CAUTION ON THE LEVEL OF EVIDENCE</w:t>
            </w:r>
          </w:p>
          <w:p>
            <w:pPr>
              <w:spacing w:after="0" w:line="276"/>
              <w:jc w:val="both"/>
            </w:pPr>
            <w:r>
              <w:rPr>
                <w:color w:val="333A3F"/>
                <w:sz w:val="19"/>
                <w:szCs w:val="19"/>
              </w:rPr>
              <w:t xml:space="preserve">The environmental and health assessments in this section rest on </w:t>
            </w:r>
            <w:r>
              <w:rPr>
                <w:b/>
                <w:bCs/>
                <w:color w:val="333A3F"/>
                <w:sz w:val="19"/>
                <w:szCs w:val="19"/>
              </w:rPr>
              <w:t xml:space="preserve">reasoning from composition</w:t>
            </w:r>
            <w:r>
              <w:rPr>
                <w:color w:val="333A3F"/>
                <w:sz w:val="19"/>
                <w:szCs w:val="19"/>
              </w:rPr>
              <w:t xml:space="preserve">; they have not been verified by independent ecotoxicology, respirable dust exposure or biodegradability testing. Until the relevant standard tests are completed, the descriptions “biodegradable” and “harmless” should be read as design objectives.</w:t>
            </w:r>
          </w:p>
        </w:tc>
      </w:tr>
    </w:tbl>
    <w:p>
      <w:pPr>
        <w:spacing w:after="200"/>
      </w:pPr>
    </w:p>
    <w:p>
      <w:pPr>
        <w:pStyle w:val="Heading2"/>
        <w:keepNext/>
        <w:spacing w:after="120" w:before="300"/>
      </w:pPr>
      <w:r>
        <w:rPr>
          <w:b/>
          <w:bCs/>
          <w:color w:val="1A7A4A"/>
          <w:sz w:val="22"/>
          <w:szCs w:val="22"/>
        </w:rPr>
        <w:t xml:space="preserve">5.4 Economic accessibility</w:t>
      </w:r>
    </w:p>
    <w:p>
      <w:pPr>
        <w:spacing w:after="130" w:line="300"/>
        <w:jc w:val="both"/>
      </w:pPr>
      <w:r>
        <w:rPr>
          <w:color w:val="1A1F24"/>
          <w:sz w:val="21"/>
          <w:szCs w:val="21"/>
        </w:rPr>
        <w:t xml:space="preserve">The barrier to wider adoption of fire safety equipment is often economic rather than technical. The 5–6 fold cost difference shown in Table 5 determines how many times more stock can be held for the same budget. For public institutions and municipalities this means that large-scale disaster preparedness can remain within budget. Because the raw material comes from a waste stream, the cost advantage is also comparatively insulated from price volatility.</w:t>
      </w:r>
    </w:p>
    <w:p>
      <w:pPr>
        <w:pStyle w:val="Heading2"/>
        <w:keepNext/>
        <w:spacing w:after="120" w:before="300"/>
      </w:pPr>
      <w:r>
        <w:rPr>
          <w:b/>
          <w:bCs/>
          <w:color w:val="1A7A4A"/>
          <w:sz w:val="22"/>
          <w:szCs w:val="22"/>
        </w:rPr>
        <w:t xml:space="preserve">5.5 Limitations of the study</w:t>
      </w:r>
    </w:p>
    <w:p>
      <w:pPr>
        <w:spacing w:after="130" w:line="300"/>
        <w:jc w:val="both"/>
      </w:pPr>
      <w:r>
        <w:rPr>
          <w:color w:val="1A1F24"/>
          <w:sz w:val="21"/>
          <w:szCs w:val="21"/>
        </w:rPr>
        <w:t xml:space="preserve">For the findings to be interpreted correctly, the following limitations must be considered together:</w:t>
      </w:r>
    </w:p>
    <w:p>
      <w:pPr>
        <w:pStyle w:val="ListParagraph"/>
        <w:numPr>
          <w:ilvl w:val="0"/>
          <w:numId w:val="3"/>
        </w:numPr>
        <w:spacing w:after="70" w:line="288"/>
      </w:pPr>
      <w:r>
        <w:rPr>
          <w:b/>
          <w:bCs/>
          <w:color w:val="1A1F24"/>
          <w:sz w:val="21"/>
          <w:szCs w:val="21"/>
        </w:rPr>
        <w:t xml:space="preserve">No accredited standard testing was performed.</w:t>
      </w:r>
      <w:r>
        <w:rPr>
          <w:color w:val="1A1F24"/>
          <w:sz w:val="21"/>
          <w:szCs w:val="21"/>
        </w:rPr>
        <w:t xml:space="preserve"> The experiments were not conducted using the standard fire trays and procedures of TS EN 615 or TS EN 3. No fire rating (21A, 113B and so on) can therefore be attributed to the product.</w:t>
      </w:r>
    </w:p>
    <w:p>
      <w:pPr>
        <w:pStyle w:val="ListParagraph"/>
        <w:numPr>
          <w:ilvl w:val="0"/>
          <w:numId w:val="3"/>
        </w:numPr>
        <w:spacing w:after="70" w:line="288"/>
      </w:pPr>
      <w:r>
        <w:rPr>
          <w:b/>
          <w:bCs/>
          <w:color w:val="1A1F24"/>
          <w:sz w:val="21"/>
          <w:szCs w:val="21"/>
        </w:rPr>
        <w:t xml:space="preserve">The thermal behaviour of the blend was not measured.</w:t>
      </w:r>
      <w:r>
        <w:rPr>
          <w:color w:val="1A1F24"/>
          <w:sz w:val="21"/>
          <w:szCs w:val="21"/>
        </w:rPr>
        <w:t xml:space="preserve"> The decomposition temperatures and enthalpy values in Table 3 are literature values for the pure compounds. Interactions within the mixture may shift the onset temperatures. No verification by thermogravimetric analysis (TGA) or differential scanning calorimetry (DSC) was carried out.</w:t>
      </w:r>
    </w:p>
    <w:p>
      <w:pPr>
        <w:pStyle w:val="ListParagraph"/>
        <w:numPr>
          <w:ilvl w:val="0"/>
          <w:numId w:val="3"/>
        </w:numPr>
        <w:spacing w:after="70" w:line="288"/>
      </w:pPr>
      <w:r>
        <w:rPr>
          <w:b/>
          <w:bCs/>
          <w:color w:val="1A1F24"/>
          <w:sz w:val="21"/>
          <w:szCs w:val="21"/>
        </w:rPr>
        <w:t xml:space="preserve">Heat release rate was not measured.</w:t>
      </w:r>
      <w:r>
        <w:rPr>
          <w:color w:val="1A1F24"/>
          <w:sz w:val="21"/>
          <w:szCs w:val="21"/>
        </w:rPr>
        <w:t xml:space="preserve"> Extinguishing times were determined by stopwatch and video recording; no calorimetric measurement was made.</w:t>
      </w:r>
    </w:p>
    <w:p>
      <w:pPr>
        <w:pStyle w:val="ListParagraph"/>
        <w:numPr>
          <w:ilvl w:val="0"/>
          <w:numId w:val="3"/>
        </w:numPr>
        <w:spacing w:after="70" w:line="288"/>
      </w:pPr>
      <w:r>
        <w:rPr>
          <w:b/>
          <w:bCs/>
          <w:color w:val="1A1F24"/>
          <w:sz w:val="21"/>
          <w:szCs w:val="21"/>
        </w:rPr>
        <w:t xml:space="preserve">The number of repetitions is limited and no statistical analysis was performed.</w:t>
      </w:r>
      <w:r>
        <w:rPr>
          <w:color w:val="1A1F24"/>
          <w:sz w:val="21"/>
          <w:szCs w:val="21"/>
        </w:rPr>
        <w:t xml:space="preserve"> Although each material was tested more than once, the sample size is not sufficient to support confidence interval calculations.</w:t>
      </w:r>
    </w:p>
    <w:p>
      <w:pPr>
        <w:pStyle w:val="ListParagraph"/>
        <w:numPr>
          <w:ilvl w:val="0"/>
          <w:numId w:val="3"/>
        </w:numPr>
        <w:spacing w:after="70" w:line="288"/>
      </w:pPr>
      <w:r>
        <w:rPr>
          <w:b/>
          <w:bCs/>
          <w:color w:val="1A1F24"/>
          <w:sz w:val="21"/>
          <w:szCs w:val="21"/>
        </w:rPr>
        <w:t xml:space="preserve">The experiments were small-scale.</w:t>
      </w:r>
      <w:r>
        <w:rPr>
          <w:color w:val="1A1F24"/>
          <w:sz w:val="21"/>
          <w:szCs w:val="21"/>
        </w:rPr>
        <w:t xml:space="preserve"> Trials were conducted at laboratory and tray scale; how suppression behaviour changes with increasing scale was not investigated.</w:t>
      </w:r>
    </w:p>
    <w:p>
      <w:pPr>
        <w:pStyle w:val="ListParagraph"/>
        <w:numPr>
          <w:ilvl w:val="0"/>
          <w:numId w:val="3"/>
        </w:numPr>
        <w:spacing w:after="70" w:line="288"/>
      </w:pPr>
      <w:r>
        <w:rPr>
          <w:b/>
          <w:bCs/>
          <w:color w:val="1A1F24"/>
          <w:sz w:val="21"/>
          <w:szCs w:val="21"/>
        </w:rPr>
        <w:t xml:space="preserve">Burn-back resistance was not quantified.</w:t>
      </w:r>
      <w:r>
        <w:rPr>
          <w:color w:val="1A1F24"/>
          <w:sz w:val="21"/>
          <w:szCs w:val="21"/>
        </w:rPr>
        <w:t xml:space="preserve"> Observation was carried out over a limited period; standard burn-back resistance was not measured.</w:t>
      </w:r>
    </w:p>
    <w:p>
      <w:pPr>
        <w:pStyle w:val="ListParagraph"/>
        <w:numPr>
          <w:ilvl w:val="0"/>
          <w:numId w:val="3"/>
        </w:numPr>
        <w:spacing w:after="70" w:line="288"/>
      </w:pPr>
      <w:r>
        <w:rPr>
          <w:b/>
          <w:bCs/>
          <w:color w:val="1A1F24"/>
          <w:sz w:val="21"/>
          <w:szCs w:val="21"/>
        </w:rPr>
        <w:t xml:space="preserve">The physical properties of the powder were not characterised.</w:t>
      </w:r>
      <w:r>
        <w:rPr>
          <w:color w:val="1A1F24"/>
          <w:sz w:val="21"/>
          <w:szCs w:val="21"/>
        </w:rPr>
        <w:t xml:space="preserve"> Particle size distribution, bulk density, flowability, moisture uptake, shelf life and compatibility with stored-pressure extinguisher hardware have not yet been measured. That a powder performs in a tray test does not in itself show that it will discharge properly from an extinguisher.</w:t>
      </w:r>
    </w:p>
    <w:p>
      <w:pPr>
        <w:pStyle w:val="ListParagraph"/>
        <w:numPr>
          <w:ilvl w:val="0"/>
          <w:numId w:val="3"/>
        </w:numPr>
        <w:spacing w:after="70" w:line="288"/>
      </w:pPr>
      <w:r>
        <w:rPr>
          <w:b/>
          <w:bCs/>
          <w:color w:val="1A1F24"/>
          <w:sz w:val="21"/>
          <w:szCs w:val="21"/>
        </w:rPr>
        <w:t xml:space="preserve">Environmental claims were not tested.</w:t>
      </w:r>
      <w:r>
        <w:rPr>
          <w:color w:val="1A1F24"/>
          <w:sz w:val="21"/>
          <w:szCs w:val="21"/>
        </w:rPr>
        <w:t xml:space="preserve"> No biodegradability or ecotoxicology assessment was carried out (see Section 5.3).</w:t>
      </w:r>
    </w:p>
    <w:p>
      <w:pPr>
        <w:pStyle w:val="ListParagraph"/>
        <w:numPr>
          <w:ilvl w:val="0"/>
          <w:numId w:val="3"/>
        </w:numPr>
        <w:spacing w:after="70" w:line="288"/>
      </w:pPr>
      <w:r>
        <w:rPr>
          <w:b/>
          <w:bCs/>
          <w:color w:val="1A1F24"/>
          <w:sz w:val="21"/>
          <w:szCs w:val="21"/>
        </w:rPr>
        <w:t xml:space="preserve">The cost calculation applies to laboratory scale.</w:t>
      </w:r>
      <w:r>
        <w:rPr>
          <w:color w:val="1A1F24"/>
          <w:sz w:val="21"/>
          <w:szCs w:val="21"/>
        </w:rPr>
        <w:t xml:space="preserve"> In industrial production, labour, energy, packaging, quality control and distribution will raise the unit cost, while economies of scale may lower the raw material cost. The net effect has not been calculated.</w:t>
      </w:r>
    </w:p>
    <w:p>
      <w:pPr>
        <w:spacing w:after="80"/>
      </w:pPr>
    </w:p>
    <w:p>
      <w:pPr>
        <w:spacing w:after="130" w:line="300"/>
        <w:ind w:firstLine="340"/>
        <w:jc w:val="both"/>
      </w:pPr>
      <w:r>
        <w:rPr>
          <w:color w:val="1A1F24"/>
          <w:sz w:val="21"/>
          <w:szCs w:val="21"/>
        </w:rPr>
        <w:t xml:space="preserve">These limitations do not invalidate the findings, but they establish their character clearly as </w:t>
      </w:r>
      <w:r>
        <w:rPr>
          <w:b/>
          <w:bCs/>
          <w:color w:val="1A1F24"/>
          <w:sz w:val="21"/>
          <w:szCs w:val="21"/>
        </w:rPr>
        <w:t xml:space="preserve">preliminary validation</w:t>
      </w:r>
      <w:r>
        <w:rPr>
          <w:color w:val="1A1F24"/>
          <w:sz w:val="21"/>
          <w:szCs w:val="21"/>
        </w:rPr>
        <w:t xml:space="preserve">. The complete extinction observed on all seven materials provides a consistent indication that the composition works, yet standard testing is indispensable before any measurable and comparable performance claim can be made.</w:t>
      </w:r>
    </w:p>
    <w:p>
      <w:pPr>
        <w:pStyle w:val="Heading1"/>
        <w:keepNext/>
        <w:spacing w:after="160" w:before="400"/>
      </w:pPr>
      <w:r>
        <w:rPr>
          <w:b/>
          <w:bCs/>
          <w:color w:val="0F4A2E"/>
          <w:sz w:val="25"/>
          <w:szCs w:val="25"/>
        </w:rPr>
        <w:t xml:space="preserve">6. Intellectual Property Position</w:t>
      </w:r>
    </w:p>
    <w:p>
      <w:pPr>
        <w:spacing w:after="130" w:line="300"/>
        <w:jc w:val="both"/>
      </w:pPr>
      <w:r>
        <w:rPr>
          <w:color w:val="1A1F24"/>
          <w:sz w:val="21"/>
          <w:szCs w:val="21"/>
        </w:rPr>
        <w:t xml:space="preserve">The outputs of the study are protected before the Turkish Patent and Trademark Office under two separate headings.</w:t>
      </w:r>
    </w:p>
    <w:p>
      <w:pPr>
        <w:keepNext/>
        <w:spacing w:after="90" w:before="200"/>
      </w:pPr>
      <w:r>
        <w:rPr>
          <w:b/>
          <w:bCs/>
          <w:color w:val="0F4A2E"/>
          <w:sz w:val="18"/>
          <w:szCs w:val="18"/>
        </w:rPr>
        <w:t xml:space="preserve">Table 6. Intellectual property records</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1984"/>
        <w:gridCol w:w="3428"/>
        <w:gridCol w:w="3608"/>
      </w:tblGrid>
      <w:tr>
        <w:trPr>
          <w:tblHeader/>
        </w:trPr>
        <w:tc>
          <w:tcPr>
            <w:tcW w:type="dxa" w:w="198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
            </w:r>
          </w:p>
        </w:tc>
        <w:tc>
          <w:tcPr>
            <w:tcW w:type="dxa" w:w="3428"/>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Trademark</w:t>
            </w:r>
          </w:p>
        </w:tc>
        <w:tc>
          <w:tcPr>
            <w:tcW w:type="dxa" w:w="3608"/>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Patent</w:t>
            </w:r>
          </w:p>
        </w:tc>
      </w:tr>
      <w:tr>
        <w:tc>
          <w:tcPr>
            <w:tcW w:type="dxa" w:w="1984"/>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Subject</w:t>
            </w:r>
          </w:p>
        </w:tc>
        <w:tc>
          <w:tcPr>
            <w:tcW w:type="dxa" w:w="342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The sign “ExtinGard”</w:t>
            </w:r>
          </w:p>
        </w:tc>
        <w:tc>
          <w:tcPr>
            <w:tcW w:type="dxa" w:w="360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“Fire Extinguishing Powder Composed of Natural Components”</w:t>
            </w:r>
          </w:p>
        </w:tc>
      </w:tr>
      <w:tr>
        <w:tc>
          <w:tcPr>
            <w:tcW w:type="dxa" w:w="1984"/>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Number</w:t>
            </w:r>
          </w:p>
        </w:tc>
        <w:tc>
          <w:tcPr>
            <w:tcW w:type="dxa" w:w="342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2026/001631</w:t>
            </w:r>
          </w:p>
        </w:tc>
        <w:tc>
          <w:tcPr>
            <w:tcW w:type="dxa" w:w="360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2025/021562</w:t>
            </w:r>
          </w:p>
        </w:tc>
      </w:tr>
      <w:tr>
        <w:tc>
          <w:tcPr>
            <w:tcW w:type="dxa" w:w="1984"/>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Date</w:t>
            </w:r>
          </w:p>
        </w:tc>
        <w:tc>
          <w:tcPr>
            <w:tcW w:type="dxa" w:w="342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Filed 06.01.2026 · Registered 04.06.2026</w:t>
            </w:r>
          </w:p>
        </w:tc>
        <w:tc>
          <w:tcPr>
            <w:tcW w:type="dxa" w:w="360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Filed 24.12.2025</w:t>
            </w:r>
          </w:p>
        </w:tc>
      </w:tr>
      <w:tr>
        <w:tc>
          <w:tcPr>
            <w:tcW w:type="dxa" w:w="1984"/>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Class</w:t>
            </w:r>
          </w:p>
        </w:tc>
        <w:tc>
          <w:tcPr>
            <w:tcW w:type="dxa" w:w="342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Nice 01, 09 and 35</w:t>
            </w:r>
          </w:p>
        </w:tc>
        <w:tc>
          <w:tcPr>
            <w:tcW w:type="dxa" w:w="360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IPC A62D 1/00</w:t>
            </w:r>
          </w:p>
        </w:tc>
      </w:tr>
      <w:tr>
        <w:tc>
          <w:tcPr>
            <w:tcW w:type="dxa" w:w="1984"/>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Scope</w:t>
            </w:r>
          </w:p>
        </w:tc>
        <w:tc>
          <w:tcPr>
            <w:tcW w:type="dxa" w:w="342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Product, device and sales activity</w:t>
            </w:r>
          </w:p>
        </w:tc>
        <w:tc>
          <w:tcPr>
            <w:tcW w:type="dxa" w:w="360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11 claims</w:t>
            </w:r>
          </w:p>
        </w:tc>
      </w:tr>
      <w:tr>
        <w:tc>
          <w:tcPr>
            <w:tcW w:type="dxa" w:w="1984"/>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Status</w:t>
            </w:r>
          </w:p>
        </w:tc>
        <w:tc>
          <w:tcPr>
            <w:tcW w:type="dxa" w:w="342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Registered · protection 06.01.2026 – 06.01.2036</w:t>
            </w:r>
          </w:p>
        </w:tc>
        <w:tc>
          <w:tcPr>
            <w:tcW w:type="dxa" w:w="360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Decision to grant issued on 25.08.2026</w:t>
            </w:r>
          </w:p>
        </w:tc>
      </w:tr>
    </w:tbl>
    <w:p>
      <w:pPr>
        <w:spacing w:after="220"/>
      </w:pPr>
    </w:p>
    <w:p>
      <w:pPr>
        <w:spacing w:after="130" w:line="300"/>
        <w:ind w:firstLine="340"/>
        <w:jc w:val="both"/>
      </w:pPr>
      <w:r>
        <w:rPr>
          <w:color w:val="1A1F24"/>
          <w:sz w:val="21"/>
          <w:szCs w:val="21"/>
        </w:rPr>
        <w:t xml:space="preserve">In the patent examination report all 11 claims were assessed positively against the criteria of </w:t>
      </w:r>
      <w:r>
        <w:rPr>
          <w:b/>
          <w:bCs/>
          <w:color w:val="1A1F24"/>
          <w:sz w:val="21"/>
          <w:szCs w:val="21"/>
        </w:rPr>
        <w:t xml:space="preserve">novelty</w:t>
      </w:r>
      <w:r>
        <w:rPr>
          <w:color w:val="1A1F24"/>
          <w:sz w:val="21"/>
          <w:szCs w:val="21"/>
        </w:rPr>
        <w:t xml:space="preserve">, </w:t>
      </w:r>
      <w:r>
        <w:rPr>
          <w:b/>
          <w:bCs/>
          <w:color w:val="1A1F24"/>
          <w:sz w:val="21"/>
          <w:szCs w:val="21"/>
        </w:rPr>
        <w:t xml:space="preserve">inventive step</w:t>
      </w:r>
      <w:r>
        <w:rPr>
          <w:color w:val="1A1F24"/>
          <w:sz w:val="21"/>
          <w:szCs w:val="21"/>
        </w:rPr>
        <w:t xml:space="preserve"> and </w:t>
      </w:r>
      <w:r>
        <w:rPr>
          <w:b/>
          <w:bCs/>
          <w:color w:val="1A1F24"/>
          <w:sz w:val="21"/>
          <w:szCs w:val="21"/>
        </w:rPr>
        <w:t xml:space="preserve">industrial applicability</w:t>
      </w:r>
      <w:r>
        <w:rPr>
          <w:color w:val="1A1F24"/>
          <w:sz w:val="21"/>
          <w:szCs w:val="21"/>
        </w:rPr>
        <w:t xml:space="preserve">. The process began with the filing of 24.12.2025; the search report was issued on 14.01.2026, examination was requested on 10.02.2026, and the decision to grant was issued on 25.08.2026.</w:t>
      </w:r>
    </w:p>
    <w:tbl>
      <w:tblPr>
        <w:tblW w:type="dxa" w:w="9020"/>
        <w:tblBorders>
          <w:top w:val="single" w:color="D3DAD6" w:sz="2"/>
          <w:left w:val="single" w:color="D89A22" w:sz="18"/>
          <w:bottom w:val="single" w:color="D3DAD6" w:sz="2"/>
          <w:right w:val="single" w:color="D3DAD6" w:sz="2"/>
          <w:insideH w:val="none"/>
          <w:insideV w:val="none"/>
        </w:tblBorders>
      </w:tblPr>
      <w:tblGrid>
        <w:gridCol w:w="9020"/>
      </w:tblGrid>
      <w:tr>
        <w:tc>
          <w:tcPr>
            <w:tcW w:type="dxa" w:w="9020"/>
            <w:shd w:fill="FFF8EC" w:color="auto" w:val="clear"/>
            <w:tcMar>
              <w:top w:type="dxa" w:w="150"/>
              <w:left w:type="dxa" w:w="190"/>
              <w:bottom w:type="dxa" w:w="150"/>
              <w:right w:type="dxa" w:w="160"/>
            </w:tcMar>
          </w:tcPr>
          <w:p>
            <w:pPr>
              <w:spacing w:after="60"/>
            </w:pPr>
            <w:r>
              <w:rPr>
                <w:b/>
                <w:bCs/>
                <w:color w:val="B4610D"/>
                <w:sz w:val="16"/>
                <w:szCs w:val="16"/>
              </w:rPr>
              <w:t xml:space="preserve">CORRECT STATEMENT OF THE LEGAL POSITION</w:t>
            </w:r>
          </w:p>
          <w:p>
            <w:pPr>
              <w:spacing w:after="0" w:line="276"/>
              <w:jc w:val="both"/>
            </w:pPr>
            <w:r>
              <w:rPr>
                <w:color w:val="333A3F"/>
                <w:sz w:val="19"/>
                <w:szCs w:val="19"/>
              </w:rPr>
              <w:t xml:space="preserve">Once the decision to grant is published in the bulletin, a </w:t>
            </w:r>
            <w:r>
              <w:rPr>
                <w:b/>
                <w:bCs/>
                <w:color w:val="333A3F"/>
                <w:sz w:val="19"/>
                <w:szCs w:val="19"/>
              </w:rPr>
              <w:t xml:space="preserve">six-month third-party opposition period</w:t>
            </w:r>
            <w:r>
              <w:rPr>
                <w:color w:val="333A3F"/>
                <w:sz w:val="19"/>
                <w:szCs w:val="19"/>
              </w:rPr>
              <w:t xml:space="preserve"> runs; the decision becomes final at the end of that period. At the present stage, therefore, the correct formulation is not “a patent has been obtained” but </w:t>
            </w:r>
            <w:r>
              <w:rPr>
                <w:b/>
                <w:bCs/>
                <w:color w:val="333A3F"/>
                <w:sz w:val="19"/>
                <w:szCs w:val="19"/>
              </w:rPr>
              <w:t xml:space="preserve">“a decision to grant has been issued”</w:t>
            </w:r>
            <w:r>
              <w:rPr>
                <w:color w:val="333A3F"/>
                <w:sz w:val="19"/>
                <w:szCs w:val="19"/>
              </w:rPr>
              <w:t xml:space="preserve">.</w:t>
            </w:r>
          </w:p>
        </w:tc>
      </w:tr>
    </w:tbl>
    <w:p>
      <w:pPr>
        <w:spacing w:after="200"/>
      </w:pPr>
    </w:p>
    <w:p>
      <w:pPr>
        <w:spacing w:after="130" w:line="300"/>
        <w:ind w:firstLine="340"/>
        <w:jc w:val="both"/>
      </w:pPr>
      <w:r>
        <w:rPr>
          <w:color w:val="1A1F24"/>
          <w:sz w:val="21"/>
          <w:szCs w:val="21"/>
        </w:rPr>
        <w:t xml:space="preserve">Because the trademark registration covers three Nice classes together, protection extends beyond the powder itself to the extinguishing device and the sales activity. The next step towards international protection is a PCT application targeting the priority markets identified as the European Union (EPO) and the Gulf states.</w:t>
      </w:r>
    </w:p>
    <w:p>
      <w:pPr>
        <w:pStyle w:val="Heading1"/>
        <w:keepNext/>
        <w:spacing w:after="160" w:before="400"/>
      </w:pPr>
      <w:r>
        <w:rPr>
          <w:b/>
          <w:bCs/>
          <w:color w:val="0F4A2E"/>
          <w:sz w:val="25"/>
          <w:szCs w:val="25"/>
        </w:rPr>
        <w:t xml:space="preserve">7. Conclusions and Recommendations</w:t>
      </w:r>
    </w:p>
    <w:p>
      <w:pPr>
        <w:spacing w:after="130" w:line="300"/>
        <w:jc w:val="both"/>
      </w:pPr>
      <w:r>
        <w:rPr>
          <w:color w:val="1A1F24"/>
          <w:sz w:val="21"/>
          <w:szCs w:val="21"/>
        </w:rPr>
        <w:t xml:space="preserve">This study has defined and experimentally tested a fully naturally sourced fire extinguishing powder, half of whose mass consists of recycled eggshell. The composition is designed to act on all three corners of the fire triangle simultaneously, combining cooling, oxygen dilution and blanketing within a single product by means of endothermic decomposition reactions that activate in stages between roughly 200 °C and 840 °C.</w:t>
      </w:r>
    </w:p>
    <w:p>
      <w:pPr>
        <w:spacing w:after="130" w:line="300"/>
        <w:ind w:firstLine="340"/>
        <w:jc w:val="both"/>
      </w:pPr>
      <w:r>
        <w:rPr>
          <w:color w:val="1A1F24"/>
          <w:sz w:val="21"/>
          <w:szCs w:val="21"/>
        </w:rPr>
        <w:t xml:space="preserve">In controlled experiments on seven combustible materials representing classes A, B, C and F, complete extinction was observed in every case within 3–8 seconds. The class F result in particular points to a gap that the ABC powder currently on the market does not close. The unit cost of 0.0497 TL/g calculated at laboratory scale is 5–6 times lower than ABC powder and approximately 3 times lower than BC powder, offering a decisive accessibility advantage for large-volume public procurement.</w:t>
      </w:r>
    </w:p>
    <w:p>
      <w:pPr>
        <w:spacing w:after="130" w:line="300"/>
        <w:ind w:firstLine="340"/>
        <w:jc w:val="both"/>
      </w:pPr>
      <w:r>
        <w:rPr>
          <w:color w:val="1A1F24"/>
          <w:sz w:val="21"/>
          <w:szCs w:val="21"/>
        </w:rPr>
        <w:t xml:space="preserve">It must nevertheless be emphasised that the findings are of a </w:t>
      </w:r>
      <w:r>
        <w:rPr>
          <w:b/>
          <w:bCs/>
          <w:color w:val="1A1F24"/>
          <w:sz w:val="21"/>
          <w:szCs w:val="21"/>
        </w:rPr>
        <w:t xml:space="preserve">preliminary validation</w:t>
      </w:r>
      <w:r>
        <w:rPr>
          <w:color w:val="1A1F24"/>
          <w:sz w:val="21"/>
          <w:szCs w:val="21"/>
        </w:rPr>
        <w:t xml:space="preserve"> character. That suppression performance has not been measured under an accredited standard, that the thermal behaviour of the blend has not been characterised instrumentally, and that the physical properties of the powder have not been determined are the principal limitations defining the product's current stage.</w:t>
      </w:r>
    </w:p>
    <w:p>
      <w:pPr>
        <w:pStyle w:val="Heading2"/>
        <w:keepNext/>
        <w:spacing w:after="120" w:before="300"/>
      </w:pPr>
      <w:r>
        <w:rPr>
          <w:b/>
          <w:bCs/>
          <w:color w:val="1A7A4A"/>
          <w:sz w:val="22"/>
          <w:szCs w:val="22"/>
        </w:rPr>
        <w:t xml:space="preserve">7.1 Recommendations for future work</w:t>
      </w:r>
    </w:p>
    <w:p>
      <w:pPr>
        <w:pStyle w:val="ListParagraph"/>
        <w:numPr>
          <w:ilvl w:val="0"/>
          <w:numId w:val="3"/>
        </w:numPr>
        <w:spacing w:after="70" w:line="288"/>
      </w:pPr>
      <w:r>
        <w:rPr>
          <w:b/>
          <w:bCs/>
          <w:color w:val="1A1F24"/>
          <w:sz w:val="21"/>
          <w:szCs w:val="21"/>
        </w:rPr>
        <w:t xml:space="preserve">Standard certification testing.</w:t>
      </w:r>
      <w:r>
        <w:rPr>
          <w:color w:val="1A1F24"/>
          <w:sz w:val="21"/>
          <w:szCs w:val="21"/>
        </w:rPr>
        <w:t xml:space="preserve"> Fire rating determination in an accredited laboratory under TS EN 615, and TS EN 3 where applicable. This is also a precondition for participation in public tenders.</w:t>
      </w:r>
    </w:p>
    <w:p>
      <w:pPr>
        <w:pStyle w:val="ListParagraph"/>
        <w:numPr>
          <w:ilvl w:val="0"/>
          <w:numId w:val="3"/>
        </w:numPr>
        <w:spacing w:after="70" w:line="288"/>
      </w:pPr>
      <w:r>
        <w:rPr>
          <w:b/>
          <w:bCs/>
          <w:color w:val="1A1F24"/>
          <w:sz w:val="21"/>
          <w:szCs w:val="21"/>
        </w:rPr>
        <w:t xml:space="preserve">Thermal characterisation.</w:t>
      </w:r>
      <w:r>
        <w:rPr>
          <w:color w:val="1A1F24"/>
          <w:sz w:val="21"/>
          <w:szCs w:val="21"/>
        </w:rPr>
        <w:t xml:space="preserve"> Determination of the actual decomposition onset temperatures and total heat absorption capacity of the blend by TGA and DSC, and comparison with the pure compound values.</w:t>
      </w:r>
    </w:p>
    <w:p>
      <w:pPr>
        <w:pStyle w:val="ListParagraph"/>
        <w:numPr>
          <w:ilvl w:val="0"/>
          <w:numId w:val="3"/>
        </w:numPr>
        <w:spacing w:after="70" w:line="288"/>
      </w:pPr>
      <w:r>
        <w:rPr>
          <w:b/>
          <w:bCs/>
          <w:color w:val="1A1F24"/>
          <w:sz w:val="21"/>
          <w:szCs w:val="21"/>
        </w:rPr>
        <w:t xml:space="preserve">Powder technology characterisation.</w:t>
      </w:r>
      <w:r>
        <w:rPr>
          <w:color w:val="1A1F24"/>
          <w:sz w:val="21"/>
          <w:szCs w:val="21"/>
        </w:rPr>
        <w:t xml:space="preserve"> Particle size distribution, bulk and tapped density, flow index, hygroscopic behaviour and accelerated shelf life testing, followed by discharge trials with stored-pressure extinguisher hardware.</w:t>
      </w:r>
    </w:p>
    <w:p>
      <w:pPr>
        <w:pStyle w:val="ListParagraph"/>
        <w:numPr>
          <w:ilvl w:val="0"/>
          <w:numId w:val="3"/>
        </w:numPr>
        <w:spacing w:after="70" w:line="288"/>
      </w:pPr>
      <w:r>
        <w:rPr>
          <w:b/>
          <w:bCs/>
          <w:color w:val="1A1F24"/>
          <w:sz w:val="21"/>
          <w:szCs w:val="21"/>
        </w:rPr>
        <w:t xml:space="preserve">Scale-up.</w:t>
      </w:r>
      <w:r>
        <w:rPr>
          <w:color w:val="1A1F24"/>
          <w:sz w:val="21"/>
          <w:szCs w:val="21"/>
        </w:rPr>
        <w:t xml:space="preserve"> Transition from tray scale to standard fire trays and investigation of how suppression performance changes with scale.</w:t>
      </w:r>
    </w:p>
    <w:p>
      <w:pPr>
        <w:pStyle w:val="ListParagraph"/>
        <w:numPr>
          <w:ilvl w:val="0"/>
          <w:numId w:val="3"/>
        </w:numPr>
        <w:spacing w:after="70" w:line="288"/>
      </w:pPr>
      <w:r>
        <w:rPr>
          <w:b/>
          <w:bCs/>
          <w:color w:val="1A1F24"/>
          <w:sz w:val="21"/>
          <w:szCs w:val="21"/>
        </w:rPr>
        <w:t xml:space="preserve">Burn-back resistance.</w:t>
      </w:r>
      <w:r>
        <w:rPr>
          <w:color w:val="1A1F24"/>
          <w:sz w:val="21"/>
          <w:szCs w:val="21"/>
        </w:rPr>
        <w:t xml:space="preserve"> Quantification of re-ignition resistance by the standard burn-back procedure, particularly for class F.</w:t>
      </w:r>
    </w:p>
    <w:p>
      <w:pPr>
        <w:pStyle w:val="ListParagraph"/>
        <w:numPr>
          <w:ilvl w:val="0"/>
          <w:numId w:val="3"/>
        </w:numPr>
        <w:spacing w:after="70" w:line="288"/>
      </w:pPr>
      <w:r>
        <w:rPr>
          <w:b/>
          <w:bCs/>
          <w:color w:val="1A1F24"/>
          <w:sz w:val="21"/>
          <w:szCs w:val="21"/>
        </w:rPr>
        <w:t xml:space="preserve">Environmental verification.</w:t>
      </w:r>
      <w:r>
        <w:rPr>
          <w:color w:val="1A1F24"/>
          <w:sz w:val="21"/>
          <w:szCs w:val="21"/>
        </w:rPr>
        <w:t xml:space="preserve"> Independent laboratory assessment of biodegradability, soil and water ecotoxicology, and respirable dust exposure.</w:t>
      </w:r>
    </w:p>
    <w:p>
      <w:pPr>
        <w:pStyle w:val="ListParagraph"/>
        <w:numPr>
          <w:ilvl w:val="0"/>
          <w:numId w:val="3"/>
        </w:numPr>
        <w:spacing w:after="70" w:line="288"/>
      </w:pPr>
      <w:r>
        <w:rPr>
          <w:b/>
          <w:bCs/>
          <w:color w:val="1A1F24"/>
          <w:sz w:val="21"/>
          <w:szCs w:val="21"/>
        </w:rPr>
        <w:t xml:space="preserve">Pilot production and cost verification.</w:t>
      </w:r>
      <w:r>
        <w:rPr>
          <w:color w:val="1A1F24"/>
          <w:sz w:val="21"/>
          <w:szCs w:val="21"/>
        </w:rPr>
        <w:t xml:space="preserve"> Establishment of a pilot line and calculation of the true unit cost at industrial scale.</w:t>
      </w:r>
    </w:p>
    <w:p>
      <w:pPr>
        <w:spacing w:after="80"/>
      </w:pPr>
    </w:p>
    <w:p>
      <w:pPr>
        <w:spacing w:after="130" w:line="300"/>
        <w:ind w:firstLine="340"/>
        <w:jc w:val="both"/>
      </w:pPr>
      <w:r>
        <w:rPr>
          <w:color w:val="1A1F24"/>
          <w:sz w:val="21"/>
          <w:szCs w:val="21"/>
        </w:rPr>
        <w:t xml:space="preserve">On completion of these steps the product would reach a maturity at which it could be considered both within the public procurement chain and in industrial facilities, as an extinguishant with a low environmental burden and an accessible cost.</w:t>
      </w:r>
    </w:p>
    <w:p>
      <w:pPr>
        <w:pStyle w:val="Heading1"/>
        <w:keepNext/>
        <w:spacing w:after="160" w:before="400"/>
      </w:pPr>
      <w:r>
        <w:rPr>
          <w:b/>
          <w:bCs/>
          <w:color w:val="0F4A2E"/>
          <w:sz w:val="25"/>
          <w:szCs w:val="25"/>
        </w:rPr>
        <w:t xml:space="preserve">Acknowledgements</w:t>
      </w:r>
    </w:p>
    <w:p>
      <w:pPr>
        <w:spacing w:after="130" w:line="300"/>
        <w:jc w:val="both"/>
      </w:pPr>
      <w:r>
        <w:rPr>
          <w:color w:val="1A1F24"/>
          <w:sz w:val="21"/>
          <w:szCs w:val="21"/>
        </w:rPr>
        <w:t xml:space="preserve">The authors thank the Bursa Fire Department Search, Rescue and Response Units for their support with the field trials and for their professional technical assessment; the BTSO Kamil Tolon Science and Art Centre for the laboratory infrastructure and R&amp;D environment in which the research was carried out; and the T3 Entrepreneurship Centre DENEYAP Entrepreneurship Programme for its review of the business model and intellectual property strategy.</w:t>
      </w:r>
    </w:p>
    <w:p>
      <w:pPr>
        <w:pStyle w:val="Heading1"/>
        <w:keepNext/>
        <w:spacing w:after="160" w:before="400"/>
      </w:pPr>
      <w:r>
        <w:rPr>
          <w:b/>
          <w:bCs/>
          <w:color w:val="0F4A2E"/>
          <w:sz w:val="25"/>
          <w:szCs w:val="25"/>
        </w:rPr>
        <w:t xml:space="preserve">Declarations</w:t>
      </w:r>
    </w:p>
    <w:p>
      <w:pPr>
        <w:pStyle w:val="Heading2"/>
        <w:keepNext/>
        <w:spacing w:after="120" w:before="300"/>
      </w:pPr>
      <w:r>
        <w:rPr>
          <w:b/>
          <w:bCs/>
          <w:color w:val="1A7A4A"/>
          <w:sz w:val="22"/>
          <w:szCs w:val="22"/>
        </w:rPr>
        <w:t xml:space="preserve">Author contribution statement</w:t>
      </w:r>
    </w:p>
    <w:p>
      <w:pPr>
        <w:spacing w:after="130" w:line="300"/>
        <w:jc w:val="both"/>
      </w:pPr>
      <w:r>
        <w:rPr>
          <w:b/>
          <w:bCs/>
          <w:color w:val="1A1F24"/>
          <w:sz w:val="21"/>
          <w:szCs w:val="21"/>
        </w:rPr>
        <w:t xml:space="preserve">A. K. Erguvan:</w:t>
      </w:r>
      <w:r>
        <w:rPr>
          <w:color w:val="1A1F24"/>
          <w:sz w:val="21"/>
          <w:szCs w:val="21"/>
        </w:rPr>
        <w:t xml:space="preserve"> conceptualisation, formulation development, design of the experimental protocols, execution of the experiments, writing of the manuscript. </w:t>
      </w:r>
      <w:r>
        <w:rPr>
          <w:b/>
          <w:bCs/>
          <w:color w:val="1A1F24"/>
          <w:sz w:val="21"/>
          <w:szCs w:val="21"/>
        </w:rPr>
        <w:t xml:space="preserve">C. N. Söylemez:</w:t>
      </w:r>
      <w:r>
        <w:rPr>
          <w:color w:val="1A1F24"/>
          <w:sz w:val="21"/>
          <w:szCs w:val="21"/>
        </w:rPr>
        <w:t xml:space="preserve"> data compilation, competitor and cost analysis, reporting of findings, review of the manuscript. </w:t>
      </w:r>
      <w:r>
        <w:rPr>
          <w:b/>
          <w:bCs/>
          <w:color w:val="1A1F24"/>
          <w:sz w:val="21"/>
          <w:szCs w:val="21"/>
        </w:rPr>
        <w:t xml:space="preserve">H. Y. Aydın:</w:t>
      </w:r>
      <w:r>
        <w:rPr>
          <w:color w:val="1A1F24"/>
          <w:sz w:val="21"/>
          <w:szCs w:val="21"/>
        </w:rPr>
        <w:t xml:space="preserve"> management of institutional relationships, coordination of the field trials, commercialisation framework, review of the manuscript. </w:t>
      </w:r>
      <w:r>
        <w:rPr>
          <w:b/>
          <w:bCs/>
          <w:color w:val="1A1F24"/>
          <w:sz w:val="21"/>
          <w:szCs w:val="21"/>
        </w:rPr>
        <w:t xml:space="preserve">G. Sezen:</w:t>
      </w:r>
      <w:r>
        <w:rPr>
          <w:color w:val="1A1F24"/>
          <w:sz w:val="21"/>
          <w:szCs w:val="21"/>
        </w:rPr>
        <w:t xml:space="preserve"> scientific supervision, oversight of method, coordination of institutional processes, final reading of the manuscript. All authors have read and approved the final version of the manuscript.</w:t>
      </w:r>
    </w:p>
    <w:p>
      <w:pPr>
        <w:pStyle w:val="Heading2"/>
        <w:keepNext/>
        <w:spacing w:after="120" w:before="300"/>
      </w:pPr>
      <w:r>
        <w:rPr>
          <w:b/>
          <w:bCs/>
          <w:color w:val="1A7A4A"/>
          <w:sz w:val="22"/>
          <w:szCs w:val="22"/>
        </w:rPr>
        <w:t xml:space="preserve">Conflict of interest statement</w:t>
      </w:r>
    </w:p>
    <w:p>
      <w:pPr>
        <w:spacing w:after="130" w:line="300"/>
        <w:jc w:val="both"/>
      </w:pPr>
      <w:r>
        <w:rPr>
          <w:color w:val="1A1F24"/>
          <w:sz w:val="21"/>
          <w:szCs w:val="21"/>
        </w:rPr>
        <w:t xml:space="preserve">The authors are among the rights holders of the trademark (2026/001631) and the patent application (2025/021562) discussed in this article. Beyond this, there is no conflict of interest to declare.</w:t>
      </w:r>
    </w:p>
    <w:p>
      <w:pPr>
        <w:pStyle w:val="Heading2"/>
        <w:keepNext/>
        <w:spacing w:after="120" w:before="300"/>
      </w:pPr>
      <w:r>
        <w:rPr>
          <w:b/>
          <w:bCs/>
          <w:color w:val="1A7A4A"/>
          <w:sz w:val="22"/>
          <w:szCs w:val="22"/>
        </w:rPr>
        <w:t xml:space="preserve">Funding</w:t>
      </w:r>
    </w:p>
    <w:p>
      <w:pPr>
        <w:spacing w:after="130" w:line="300"/>
        <w:jc w:val="both"/>
      </w:pPr>
      <w:r>
        <w:rPr>
          <w:color w:val="1A1F24"/>
          <w:sz w:val="21"/>
          <w:szCs w:val="21"/>
        </w:rPr>
        <w:t xml:space="preserve">This work received no specific grant from any public, commercial or not-for-profit body. Laboratory infrastructure was provided by the BTSO Kamil Tolon Science and Art Centre.</w:t>
      </w:r>
    </w:p>
    <w:p>
      <w:pPr>
        <w:pStyle w:val="Heading2"/>
        <w:keepNext/>
        <w:spacing w:after="120" w:before="300"/>
      </w:pPr>
      <w:r>
        <w:rPr>
          <w:b/>
          <w:bCs/>
          <w:color w:val="1A7A4A"/>
          <w:sz w:val="22"/>
          <w:szCs w:val="22"/>
        </w:rPr>
        <w:t xml:space="preserve">Data availability</w:t>
      </w:r>
    </w:p>
    <w:p>
      <w:pPr>
        <w:spacing w:after="130" w:line="300"/>
        <w:jc w:val="both"/>
      </w:pPr>
      <w:r>
        <w:rPr>
          <w:color w:val="1A1F24"/>
          <w:sz w:val="21"/>
          <w:szCs w:val="21"/>
        </w:rPr>
        <w:t xml:space="preserve">Video recordings of the experiments and the raw observation notes can be made available through the corresponding author on reasonable request.</w:t>
      </w:r>
    </w:p>
    <w:p>
      <w:pPr>
        <w:pStyle w:val="Heading1"/>
        <w:keepNext/>
        <w:spacing w:after="160" w:before="400"/>
      </w:pPr>
      <w:r>
        <w:rPr>
          <w:b/>
          <w:bCs/>
          <w:color w:val="0F4A2E"/>
          <w:sz w:val="25"/>
          <w:szCs w:val="25"/>
        </w:rPr>
        <w:t xml:space="preserve">References</w:t>
      </w:r>
    </w:p>
    <w:p>
      <w:pPr>
        <w:spacing w:after="100" w:line="276"/>
        <w:ind w:left="400" w:hanging="400"/>
      </w:pPr>
      <w:r>
        <w:rPr>
          <w:color w:val="1A1F24"/>
          <w:sz w:val="19"/>
          <w:szCs w:val="19"/>
        </w:rPr>
        <w:t xml:space="preserve">Anderson, H., Roberts, L., &amp; Kim, S. (2023). Plant-Based Fire Retardants: A New Approach to Sustainable Fire Safety. </w:t>
      </w:r>
      <w:r>
        <w:rPr>
          <w:i/>
          <w:iCs/>
          <w:color w:val="1A1F24"/>
          <w:sz w:val="19"/>
          <w:szCs w:val="19"/>
        </w:rPr>
        <w:t xml:space="preserve">Green Chemistry</w:t>
      </w:r>
      <w:r>
        <w:rPr>
          <w:color w:val="1A1F24"/>
          <w:sz w:val="19"/>
          <w:szCs w:val="19"/>
        </w:rPr>
        <w:t xml:space="preserve">, 12(4), 312–328.</w:t>
      </w:r>
    </w:p>
    <w:p>
      <w:pPr>
        <w:spacing w:after="100" w:line="276"/>
        <w:ind w:left="400" w:hanging="400"/>
      </w:pPr>
      <w:r>
        <w:rPr>
          <w:color w:val="1A1F24"/>
          <w:sz w:val="19"/>
          <w:szCs w:val="19"/>
        </w:rPr>
        <w:t xml:space="preserve">EPA (2019). </w:t>
      </w:r>
      <w:r>
        <w:rPr>
          <w:i/>
          <w:iCs/>
          <w:color w:val="1A1F24"/>
          <w:sz w:val="19"/>
          <w:szCs w:val="19"/>
        </w:rPr>
        <w:t xml:space="preserve">Ozone-Depleting Substances and Fire Suppressants.</w:t>
      </w:r>
      <w:r>
        <w:rPr>
          <w:color w:val="1A1F24"/>
          <w:sz w:val="19"/>
          <w:szCs w:val="19"/>
        </w:rPr>
        <w:t xml:space="preserve"> United States Environmental Protection Agency.</w:t>
      </w:r>
    </w:p>
    <w:p>
      <w:pPr>
        <w:spacing w:after="100" w:line="276"/>
        <w:ind w:left="400" w:hanging="400"/>
      </w:pPr>
      <w:r>
        <w:rPr>
          <w:color w:val="1A1F24"/>
          <w:sz w:val="19"/>
          <w:szCs w:val="19"/>
        </w:rPr>
        <w:t xml:space="preserve">General Directorate of Forestry (2023). </w:t>
      </w:r>
      <w:r>
        <w:rPr>
          <w:i/>
          <w:iCs/>
          <w:color w:val="1A1F24"/>
          <w:sz w:val="19"/>
          <w:szCs w:val="19"/>
        </w:rPr>
        <w:t xml:space="preserve">Forest Fire Statistics and Response Strategies in Türkiye.</w:t>
      </w:r>
      <w:r>
        <w:rPr>
          <w:color w:val="1A1F24"/>
          <w:sz w:val="19"/>
          <w:szCs w:val="19"/>
        </w:rPr>
        <w:t xml:space="preserve"> Republic of Türkiye Ministry of Agriculture and Forestry. [in Turkish]</w:t>
      </w:r>
    </w:p>
    <w:p>
      <w:pPr>
        <w:spacing w:after="100" w:line="276"/>
        <w:ind w:left="400" w:hanging="400"/>
      </w:pPr>
      <w:r>
        <w:rPr>
          <w:color w:val="1A1F24"/>
          <w:sz w:val="19"/>
          <w:szCs w:val="19"/>
        </w:rPr>
        <w:t xml:space="preserve">IPCC (2023). </w:t>
      </w:r>
      <w:r>
        <w:rPr>
          <w:i/>
          <w:iCs/>
          <w:color w:val="1A1F24"/>
          <w:sz w:val="19"/>
          <w:szCs w:val="19"/>
        </w:rPr>
        <w:t xml:space="preserve">Climate Change 2023: Synthesis Report.</w:t>
      </w:r>
      <w:r>
        <w:rPr>
          <w:color w:val="1A1F24"/>
          <w:sz w:val="19"/>
          <w:szCs w:val="19"/>
        </w:rPr>
        <w:t xml:space="preserve"> Intergovernmental Panel on Climate Change.</w:t>
      </w:r>
    </w:p>
    <w:p>
      <w:pPr>
        <w:spacing w:after="100" w:line="276"/>
        <w:ind w:left="400" w:hanging="400"/>
      </w:pPr>
      <w:r>
        <w:rPr>
          <w:color w:val="1A1F24"/>
          <w:sz w:val="19"/>
          <w:szCs w:val="19"/>
        </w:rPr>
        <w:t xml:space="preserve">Kırtaş, H. A., &amp; Altundağ, H. (2023). Production, Refilling and Maintenance of Portable Fire Extinguishers. </w:t>
      </w:r>
      <w:r>
        <w:rPr>
          <w:i/>
          <w:iCs/>
          <w:color w:val="1A1F24"/>
          <w:sz w:val="19"/>
          <w:szCs w:val="19"/>
        </w:rPr>
        <w:t xml:space="preserve">International Journal of Fuels, Combustion and Fire</w:t>
      </w:r>
      <w:r>
        <w:rPr>
          <w:color w:val="1A1F24"/>
          <w:sz w:val="19"/>
          <w:szCs w:val="19"/>
        </w:rPr>
        <w:t xml:space="preserve">, 11(1), 91–103. [in Turkish]</w:t>
      </w:r>
    </w:p>
    <w:p>
      <w:pPr>
        <w:spacing w:after="100" w:line="276"/>
        <w:ind w:left="400" w:hanging="400"/>
      </w:pPr>
      <w:r>
        <w:rPr>
          <w:color w:val="1A1F24"/>
          <w:sz w:val="19"/>
          <w:szCs w:val="19"/>
        </w:rPr>
        <w:t xml:space="preserve">Lee, K., Smith, J., &amp; Walker, P. (2021). Health Impacts of Fire Suppressant Chemicals: A Review. </w:t>
      </w:r>
      <w:r>
        <w:rPr>
          <w:i/>
          <w:iCs/>
          <w:color w:val="1A1F24"/>
          <w:sz w:val="19"/>
          <w:szCs w:val="19"/>
        </w:rPr>
        <w:t xml:space="preserve">Environmental Research</w:t>
      </w:r>
      <w:r>
        <w:rPr>
          <w:color w:val="1A1F24"/>
          <w:sz w:val="19"/>
          <w:szCs w:val="19"/>
        </w:rPr>
        <w:t xml:space="preserve">, 56(3), 223–240.</w:t>
      </w:r>
    </w:p>
    <w:p>
      <w:pPr>
        <w:spacing w:after="100" w:line="276"/>
        <w:ind w:left="400" w:hanging="400"/>
      </w:pPr>
      <w:r>
        <w:rPr>
          <w:color w:val="1A1F24"/>
          <w:sz w:val="19"/>
          <w:szCs w:val="19"/>
        </w:rPr>
        <w:t xml:space="preserve">Miller, R., &amp; Carter, D. (2022). Calcium Carbonate in Fire Suppression Applications. </w:t>
      </w:r>
      <w:r>
        <w:rPr>
          <w:i/>
          <w:iCs/>
          <w:color w:val="1A1F24"/>
          <w:sz w:val="19"/>
          <w:szCs w:val="19"/>
        </w:rPr>
        <w:t xml:space="preserve">Journal of Chemical Studies</w:t>
      </w:r>
      <w:r>
        <w:rPr>
          <w:color w:val="1A1F24"/>
          <w:sz w:val="19"/>
          <w:szCs w:val="19"/>
        </w:rPr>
        <w:t xml:space="preserve">, 38(1), 55–67.</w:t>
      </w:r>
    </w:p>
    <w:p>
      <w:pPr>
        <w:spacing w:after="100" w:line="276"/>
        <w:ind w:left="400" w:hanging="400"/>
      </w:pPr>
      <w:r>
        <w:rPr>
          <w:color w:val="1A1F24"/>
          <w:sz w:val="19"/>
          <w:szCs w:val="19"/>
        </w:rPr>
        <w:t xml:space="preserve">Turkish Patent and Trademark Office (2026a). </w:t>
      </w:r>
      <w:r>
        <w:rPr>
          <w:i/>
          <w:iCs/>
          <w:color w:val="1A1F24"/>
          <w:sz w:val="19"/>
          <w:szCs w:val="19"/>
        </w:rPr>
        <w:t xml:space="preserve">Trademark Registration Certificate</w:t>
      </w:r>
      <w:r>
        <w:rPr>
          <w:color w:val="1A1F24"/>
          <w:sz w:val="19"/>
          <w:szCs w:val="19"/>
        </w:rPr>
        <w:t xml:space="preserve">, Registration No 2026/001631.</w:t>
      </w:r>
    </w:p>
    <w:p>
      <w:pPr>
        <w:spacing w:after="100" w:line="276"/>
        <w:ind w:left="400" w:hanging="400"/>
      </w:pPr>
      <w:r>
        <w:rPr>
          <w:color w:val="1A1F24"/>
          <w:sz w:val="19"/>
          <w:szCs w:val="19"/>
        </w:rPr>
        <w:t xml:space="preserve">Turkish Patent and Trademark Office (2026b). </w:t>
      </w:r>
      <w:r>
        <w:rPr>
          <w:i/>
          <w:iCs/>
          <w:color w:val="1A1F24"/>
          <w:sz w:val="19"/>
          <w:szCs w:val="19"/>
        </w:rPr>
        <w:t xml:space="preserve">Examination Report and Decision to Grant</w:t>
      </w:r>
      <w:r>
        <w:rPr>
          <w:color w:val="1A1F24"/>
          <w:sz w:val="19"/>
          <w:szCs w:val="19"/>
        </w:rPr>
        <w:t xml:space="preserve">, Application No 2025/021562.</w:t>
      </w:r>
    </w:p>
    <w:p>
      <w:pPr>
        <w:spacing w:after="100" w:line="276"/>
        <w:ind w:left="400" w:hanging="400"/>
      </w:pPr>
      <w:r>
        <w:rPr>
          <w:color w:val="1A1F24"/>
          <w:sz w:val="19"/>
          <w:szCs w:val="19"/>
        </w:rPr>
        <w:t xml:space="preserve">UNEP (2022). </w:t>
      </w:r>
      <w:r>
        <w:rPr>
          <w:i/>
          <w:iCs/>
          <w:color w:val="1A1F24"/>
          <w:sz w:val="19"/>
          <w:szCs w:val="19"/>
        </w:rPr>
        <w:t xml:space="preserve">Spreading Like Wildfire: The Rising Threat of Extraordinary Landscape Fires.</w:t>
      </w:r>
      <w:r>
        <w:rPr>
          <w:color w:val="1A1F24"/>
          <w:sz w:val="19"/>
          <w:szCs w:val="19"/>
        </w:rPr>
        <w:t xml:space="preserve"> United Nations Environment Programme.</w:t>
      </w:r>
    </w:p>
    <w:p>
      <w:pPr>
        <w:spacing w:after="260"/>
      </w:pPr>
    </w:p>
    <w:p>
      <w:pPr>
        <w:spacing w:after="130" w:line="300"/>
        <w:jc w:val="left"/>
      </w:pPr>
      <w:r>
        <w:rPr>
          <w:b/>
          <w:bCs/>
          <w:color w:val="1A1F24"/>
          <w:sz w:val="21"/>
          <w:szCs w:val="21"/>
        </w:rPr>
        <w:t xml:space="preserve">End of article.</w:t>
      </w:r>
      <w:r>
        <w:rPr>
          <w:color w:val="1A1F24"/>
          <w:sz w:val="21"/>
          <w:szCs w:val="21"/>
        </w:rPr>
        <w:t xml:space="preserve"> Version 1.0 — September 2026. The Turkish equivalent of this article is </w:t>
      </w:r>
      <w:r>
        <w:rPr>
          <w:rFonts w:ascii="Consolas" w:cs="Consolas" w:eastAsia="Consolas" w:hAnsi="Consolas"/>
          <w:color w:val="0F4A2E"/>
          <w:sz w:val="19"/>
          <w:szCs w:val="19"/>
        </w:rPr>
        <w:t xml:space="preserve">ExtinGard_Arastirma_Makalesi_TR.docx</w:t>
      </w:r>
      <w:r>
        <w:rPr>
          <w:color w:val="1A1F24"/>
          <w:sz w:val="21"/>
          <w:szCs w:val="21"/>
        </w:rPr>
        <w:t xml:space="preserv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ExtinGard · Research Article    </w:t>
    </w:r>
    <w:r>
      <w:rPr>
        <w:b/>
        <w:bCs/>
        <w:color w:val="0F4A2E"/>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D6" w:sz="4" w:space="6"/>
      </w:pBdr>
      <w:spacing w:after="220"/>
    </w:pPr>
    <w:r>
      <w:rPr>
        <w:color w:val="6B7280"/>
        <w:spacing w:val="25"/>
        <w:sz w:val="16"/>
        <w:szCs w:val="16"/>
      </w:rPr>
      <w:t xml:space="preserve">ERGUVAN ET AL.  ·  AN EGGSHELL-DERIVED FIRE EXTINGUISHING POWDER (EXTINGARD)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1A7A4A"/>
      </w:rPr>
    </w:lvl>
  </w:abstractNum>
  <w:abstractNum w:abstractNumId="3" w15:restartNumberingAfterBreak="0">
    <w:multiLevelType w:val="hybridMultilevel"/>
    <w:lvl w:ilvl="0" w15:tentative="1">
      <w:start w:val="1"/>
      <w:numFmt w:val="decimal"/>
      <w:lvlText w:val="%1."/>
      <w:lvlJc w:val="left"/>
      <w:pPr>
        <w:ind w:left="420" w:hanging="320"/>
      </w:pPr>
      <w:rPr>
        <w:b/>
        <w:bCs/>
        <w:color w:val="1A7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4"/>
        <w:sz w:val="21"/>
        <w:szCs w:val="21"/>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4A2E"/>
      <w:sz w:val="25"/>
      <w:szCs w:val="25"/>
    </w:rPr>
  </w:style>
  <w:style w:type="paragraph" w:styleId="Heading2">
    <w:name w:val="Heading 2"/>
    <w:basedOn w:val="Normal"/>
    <w:next w:val="Normal"/>
    <w:qFormat/>
    <w:rPr>
      <w:rFonts w:ascii="Calibri" w:cs="Calibri" w:eastAsia="Calibri" w:hAnsi="Calibri"/>
      <w:b/>
      <w:bCs/>
      <w:color w:val="1A7A4A"/>
      <w:sz w:val="22"/>
      <w:szCs w:val="22"/>
    </w:rPr>
  </w:style>
  <w:style w:type="paragraph" w:styleId="Heading3">
    <w:name w:val="Heading 3"/>
    <w:basedOn w:val="Normal"/>
    <w:next w:val="Normal"/>
    <w:qFormat/>
    <w:rPr>
      <w:rFonts w:ascii="Calibri" w:cs="Calibri" w:eastAsia="Calibri" w:hAnsi="Calibri"/>
      <w:b/>
      <w:bCs/>
      <w:color w:val="333A3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Novel Eggshell-Derived Bio-Waste Fire Extinguishing Powder (ExtinGard): Formulation, Triple Suppression Mechanism and Experimental Validation</dc:title>
  <dc:creator>Alp Kayra Erguvan, Ceyda Nur Söylemez, Havva Yaren Aydın, Gülçin Sezen</dc:creator>
  <dc:description>Formulation, suppression mechanism and experimental validation of a biodegradable fire extinguishing powder made from eggshell and natural minerals.</dc:description>
  <cp:lastModifiedBy>Un-named</cp:lastModifiedBy>
  <cp:revision>1</cp:revision>
  <dcterms:created xsi:type="dcterms:W3CDTF">2026-09-21T17:54:07.923Z</dcterms:created>
  <dcterms:modified xsi:type="dcterms:W3CDTF">2026-09-21T17:54:07.923Z</dcterms:modified>
</cp:coreProperties>
</file>

<file path=docProps/custom.xml><?xml version="1.0" encoding="utf-8"?>
<Properties xmlns="http://schemas.openxmlformats.org/officeDocument/2006/custom-properties" xmlns:vt="http://schemas.openxmlformats.org/officeDocument/2006/docPropsVTypes"/>
</file>