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5486400" cy="548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/>
      <w:r>
        <w:rPr>
          <w:b/>
          <w:color w:val="FF0000"/>
        </w:rPr>
        <w:t>Normal</w:t>
      </w:r>
      <w:r>
        <w:rPr>
          <w:i/>
          <w:color w:val="0000FF"/>
        </w:rPr>
        <w:t xml:space="preserve"> (No errors detected.)</w:t>
      </w:r>
      <w:r/>
    </w:p>
    <w:p>
      <w:pPr>
        <w:pStyle w:val="ListBullet"/>
      </w:pPr>
      <w:r>
        <w:t>Heading 1</w:t>
      </w:r>
    </w:p>
    <w:p>
      <w:pPr>
        <w:pStyle w:val="ListBullet"/>
      </w:pPr>
      <w:r>
        <w:t>Heading 2</w:t>
      </w:r>
    </w:p>
    <w:p>
      <w:pPr>
        <w:pStyle w:val="ListBullet"/>
      </w:pPr>
      <w:r>
        <w:t>Heading 3</w:t>
      </w:r>
    </w:p>
    <w:p>
      <w:pPr>
        <w:pStyle w:val="ListBullet"/>
      </w:pPr>
      <w:r>
        <w:t>Heading 4</w:t>
      </w:r>
    </w:p>
    <w:p>
      <w:pPr>
        <w:pStyle w:val="ListBullet"/>
      </w:pPr>
      <w:r/>
      <w:r>
        <w:rPr>
          <w:b/>
          <w:color w:val="FF0000"/>
        </w:rPr>
        <w:t>Heading 5</w:t>
      </w:r>
      <w:r>
        <w:rPr>
          <w:i/>
          <w:color w:val="0000FF"/>
        </w:rPr>
        <w:t xml:space="preserve"> (No explanation.)</w:t>
      </w:r>
      <w:r/>
    </w:p>
    <w:p>
      <w:pPr>
        <w:pStyle w:val="ListBullet"/>
      </w:pPr>
      <w:r/>
      <w:r>
        <w:rPr>
          <w:b/>
          <w:color w:val="FF0000"/>
        </w:rPr>
        <w:t>Heading 6</w:t>
      </w:r>
      <w:r>
        <w:rPr>
          <w:i/>
          <w:color w:val="0000FF"/>
        </w:rPr>
        <w:t xml:space="preserve"> (No explanation.)</w:t>
      </w:r>
      <w:r/>
    </w:p>
    <w:p>
      <w:pPr>
        <w:pStyle w:val="ListBullet"/>
      </w:pPr>
      <w:r>
        <w:t>Code Block</w:t>
      </w:r>
    </w:p>
    <w:p>
      <w:pPr>
        <w:pStyle w:val="ListBullet"/>
      </w:pPr>
      <w:r/>
      <w:r>
        <w:rPr>
          <w:b/>
          <w:color w:val="FF0000"/>
        </w:rPr>
        <w:t>Default</w:t>
      </w:r>
      <w:r>
        <w:rPr>
          <w:i/>
          <w:color w:val="0000FF"/>
        </w:rPr>
        <w:t xml:space="preserve"> (No changes required.)</w:t>
      </w:r>
      <w:r/>
    </w:p>
    <w:p>
      <w:pPr>
        <w:pStyle w:val="ListBullet"/>
      </w:pPr>
      <w:r>
        <w:t>Arial</w:t>
      </w:r>
    </w:p>
    <w:p>
      <w:pPr>
        <w:pStyle w:val="ListBullet"/>
      </w:pPr>
      <w:r>
        <w:t>Georgia</w:t>
      </w:r>
    </w:p>
    <w:p>
      <w:pPr>
        <w:pStyle w:val="ListBullet"/>
      </w:pPr>
      <w:r>
        <w:t>Impact</w:t>
      </w:r>
    </w:p>
    <w:p>
      <w:pPr>
        <w:pStyle w:val="ListBullet"/>
      </w:pPr>
      <w:r>
        <w:t>Tahoma</w:t>
      </w:r>
    </w:p>
    <w:p>
      <w:pPr>
        <w:pStyle w:val="ListBullet"/>
      </w:pPr>
      <w:r/>
      <w:r>
        <w:rPr>
          <w:b/>
          <w:color w:val="FF0000"/>
        </w:rPr>
        <w:t>Times New Roman</w:t>
      </w:r>
      <w:r>
        <w:rPr>
          <w:i/>
          <w:color w:val="0000FF"/>
        </w:rPr>
        <w:t xml:space="preserve"> (No explanation.)</w:t>
      </w:r>
      <w:r/>
    </w:p>
    <w:p>
      <w:pPr>
        <w:pStyle w:val="ListBullet"/>
      </w:pPr>
      <w:r/>
      <w:r>
        <w:rPr>
          <w:b/>
          <w:color w:val="FF0000"/>
        </w:rPr>
        <w:t>Verdana</w:t>
      </w:r>
      <w:r>
        <w:rPr>
          <w:i/>
          <w:color w:val="0000FF"/>
        </w:rPr>
        <w:t xml:space="preserve"> (No errors found.)</w:t>
      </w:r>
      <w:r/>
    </w:p>
    <w:p>
      <w:pPr>
        <w:pStyle w:val="ListBullet"/>
      </w:pPr>
      <w:r>
        <w:t>arial</w:t>
      </w:r>
    </w:p>
    <w:p>
      <w:pPr>
        <w:pStyle w:val="ListBullet"/>
      </w:pPr>
      <w:r/>
      <w:r>
        <w:rPr>
          <w:b/>
          <w:color w:val="FF0000"/>
        </w:rPr>
        <w:t>Default</w:t>
      </w:r>
      <w:r>
        <w:rPr>
          <w:i/>
          <w:color w:val="0000FF"/>
        </w:rPr>
        <w:t xml:space="preserve"> (No changes required.)</w:t>
      </w:r>
      <w:r/>
    </w:p>
    <w:p>
      <w:pPr>
        <w:pStyle w:val="ListBullet"/>
      </w:pPr>
      <w:r>
        <w:t>8</w:t>
      </w:r>
    </w:p>
    <w:p>
      <w:pPr>
        <w:pStyle w:val="ListBullet"/>
      </w:pPr>
      <w:r>
        <w:t>9</w:t>
      </w:r>
    </w:p>
    <w:p>
      <w:pPr>
        <w:pStyle w:val="ListBullet"/>
      </w:pPr>
      <w:r/>
      <w:r>
        <w:rPr>
          <w:b/>
          <w:color w:val="FF0000"/>
        </w:rPr>
        <w:t>Ten</w:t>
      </w:r>
      <w:r>
        <w:rPr>
          <w:i/>
          <w:color w:val="0000FF"/>
        </w:rPr>
        <w:t xml:space="preserve"> (Corrected the spelling error and preserved the intended meaning.)</w:t>
      </w:r>
      <w:r/>
    </w:p>
    <w:p>
      <w:pPr>
        <w:pStyle w:val="ListBullet"/>
      </w:pPr>
      <w:r>
        <w:t>11</w:t>
      </w:r>
    </w:p>
    <w:p>
      <w:pPr>
        <w:pStyle w:val="ListBullet"/>
      </w:pPr>
      <w:r/>
      <w:r>
        <w:rPr>
          <w:b/>
          <w:color w:val="FF0000"/>
        </w:rPr>
        <w:t>Twelve</w:t>
      </w:r>
      <w:r>
        <w:rPr>
          <w:i/>
          <w:color w:val="0000FF"/>
        </w:rPr>
        <w:t xml:space="preserve"> (Corrected the spelling error and preserved the intended meaning.)</w:t>
      </w:r>
      <w:r/>
    </w:p>
    <w:p>
      <w:pPr>
        <w:pStyle w:val="ListBullet"/>
      </w:pPr>
      <w:r>
        <w:t>14</w:t>
      </w:r>
    </w:p>
    <w:p>
      <w:pPr>
        <w:pStyle w:val="ListBullet"/>
      </w:pPr>
      <w:r>
        <w:t>16</w:t>
      </w:r>
    </w:p>
    <w:p>
      <w:pPr>
        <w:pStyle w:val="ListBullet"/>
      </w:pPr>
      <w:r>
        <w:t>18</w:t>
      </w:r>
    </w:p>
    <w:p>
      <w:pPr>
        <w:pStyle w:val="ListBullet"/>
      </w:pPr>
      <w:r/>
      <w:r>
        <w:rPr>
          <w:b/>
          <w:color w:val="FF0000"/>
        </w:rPr>
        <w:t>Twenty-four</w:t>
      </w:r>
      <w:r>
        <w:rPr>
          <w:i/>
          <w:color w:val="0000FF"/>
        </w:rPr>
        <w:t xml:space="preserve"> (Corrected the spelling error and preserved the intended meaning.)</w:t>
      </w:r>
      <w:r/>
    </w:p>
    <w:p>
      <w:pPr>
        <w:pStyle w:val="ListBullet"/>
      </w:pPr>
      <w:r>
        <w:t>30</w:t>
      </w:r>
    </w:p>
    <w:p>
      <w:pPr>
        <w:pStyle w:val="ListBullet"/>
      </w:pPr>
      <w:r>
        <w:t>36</w:t>
      </w:r>
    </w:p>
    <w:p>
      <w:pPr>
        <w:pStyle w:val="ListBullet"/>
      </w:pPr>
      <w:r>
        <w:t>48</w:t>
      </w:r>
    </w:p>
    <w:p>
      <w:pPr>
        <w:pStyle w:val="ListBullet"/>
      </w:pPr>
      <w:r>
        <w:t>60</w:t>
      </w:r>
    </w:p>
    <w:p>
      <w:pPr>
        <w:pStyle w:val="ListBullet"/>
      </w:pPr>
      <w:r>
        <w:t>72</w:t>
      </w:r>
    </w:p>
    <w:p>
      <w:pPr>
        <w:pStyle w:val="ListBullet"/>
      </w:pPr>
      <w:r>
        <w:t>96</w:t>
      </w:r>
    </w:p>
    <w:p>
      <w:pPr>
        <w:pStyle w:val="ListBullet"/>
      </w:pPr>
      <w:r/>
      <w:r>
        <w:rPr>
          <w:b/>
          <w:color w:val="FF0000"/>
        </w:rPr>
        <w:t>Default</w:t>
      </w:r>
      <w:r>
        <w:rPr>
          <w:i/>
          <w:color w:val="0000FF"/>
        </w:rPr>
        <w:t xml:space="preserve"> (No changes required.)</w:t>
      </w:r>
      <w:r/>
    </w:p>
    <w:p>
      <w:pPr>
        <w:pStyle w:val="ListBullet"/>
      </w:pPr>
      <w:r>
        <w:t>Lower Alpha</w:t>
      </w:r>
    </w:p>
    <w:p>
      <w:pPr>
        <w:pStyle w:val="ListBullet"/>
      </w:pPr>
      <w:r>
        <w:t>Lower Greek</w:t>
      </w:r>
    </w:p>
    <w:p>
      <w:pPr>
        <w:pStyle w:val="ListBullet"/>
      </w:pPr>
      <w:r>
        <w:t>Lower Roman</w:t>
      </w:r>
    </w:p>
    <w:p>
      <w:pPr>
        <w:pStyle w:val="ListBullet"/>
      </w:pPr>
      <w:r>
        <w:t>Upper Alpha</w:t>
      </w:r>
    </w:p>
    <w:p>
      <w:pPr>
        <w:pStyle w:val="ListBullet"/>
      </w:pPr>
      <w:r>
        <w:t>Upper Roman</w:t>
      </w:r>
    </w:p>
    <w:p>
      <w:pPr>
        <w:pStyle w:val="ListBullet"/>
      </w:pPr>
      <w:r/>
      <w:r>
        <w:rPr>
          <w:b/>
          <w:color w:val="FF0000"/>
        </w:rPr>
        <w:t>Default</w:t>
      </w:r>
      <w:r>
        <w:rPr>
          <w:i/>
          <w:color w:val="0000FF"/>
        </w:rPr>
        <w:t xml:space="preserve"> (No changes required.)</w:t>
      </w:r>
      <w:r/>
    </w:p>
    <w:p>
      <w:pPr>
        <w:pStyle w:val="ListBullet"/>
      </w:pPr>
      <w:r>
        <w:t>Circle</w:t>
      </w:r>
    </w:p>
    <w:p>
      <w:pPr>
        <w:pStyle w:val="ListBullet"/>
      </w:pPr>
      <w:r>
        <w:t>Disc</w:t>
      </w:r>
    </w:p>
    <w:p>
      <w:pPr>
        <w:pStyle w:val="ListBullet"/>
      </w:pPr>
      <w:r>
        <w:t>Square</w:t>
      </w:r>
    </w:p>
    <w:p>
      <w:pPr>
        <w:pStyle w:val="ListBullet"/>
      </w:pPr>
      <w:r/>
      <w:r>
        <w:rPr>
          <w:b/>
          <w:color w:val="FF0000"/>
        </w:rPr>
        <w:t>Default</w:t>
      </w:r>
      <w:r>
        <w:rPr>
          <w:i/>
          <w:color w:val="0000FF"/>
        </w:rPr>
        <w:t xml:space="preserve"> (No changes required.)</w:t>
      </w:r>
      <w:r/>
    </w:p>
    <w:p>
      <w:pPr>
        <w:pStyle w:val="ListBullet"/>
      </w:pPr>
      <w:r>
        <w:t>Single</w:t>
      </w:r>
    </w:p>
    <w:p>
      <w:pPr>
        <w:pStyle w:val="ListBullet"/>
      </w:pPr>
      <w:r/>
      <w:r>
        <w:rPr>
          <w:b/>
          <w:color w:val="FF0000"/>
        </w:rPr>
        <w:t>1.15</w:t>
      </w:r>
      <w:r>
        <w:rPr>
          <w:i/>
          <w:color w:val="0000FF"/>
        </w:rPr>
        <w:t xml:space="preserve"> (Grammar and spelling correction)</w:t>
      </w:r>
      <w:r/>
    </w:p>
    <w:p>
      <w:pPr>
        <w:pStyle w:val="ListBullet"/>
      </w:pPr>
      <w:r>
        <w:t>1.5</w:t>
      </w:r>
    </w:p>
    <w:p>
      <w:pPr>
        <w:pStyle w:val="ListBullet"/>
      </w:pPr>
      <w:r>
        <w:t>Increase</w:t>
      </w:r>
    </w:p>
    <w:p>
      <w:pPr>
        <w:pStyle w:val="ListBullet"/>
      </w:pPr>
      <w:r/>
      <w:r>
        <w:rPr>
          <w:b/>
          <w:color w:val="FF0000"/>
        </w:rPr>
        <w:t>Decrease</w:t>
      </w:r>
      <w:r>
        <w:rPr>
          <w:i/>
          <w:color w:val="0000FF"/>
        </w:rPr>
        <w:t xml:space="preserve"> (Corrected the verb tense and replaced 'start_of_turn' with 'beginning'.)</w:t>
      </w:r>
      <w:r/>
    </w:p>
    <w:p>
      <w:pPr>
        <w:pStyle w:val="Heading1"/>
      </w:pPr>
      <w:r>
        <w:t>3-6357-254-00_00. Course Overview</w:t>
      </w:r>
    </w:p>
    <w:p>
      <w:pPr/>
      <w:r/>
      <w:r>
        <w:rPr>
          <w:b/>
          <w:color w:val="FF0000"/>
        </w:rPr>
        <w:t>Hello and welcome to the OpenText Reporting and Dashboards</w:t>
      </w:r>
      <w:r>
        <w:rPr>
          <w:i/>
          <w:color w:val="0000FF"/>
        </w:rPr>
        <w:t xml:space="preserve"> (No explanation.)</w:t>
      </w:r>
      <w:r/>
    </w:p>
    <w:p>
      <w:pPr/>
      <w:r>
        <w:t>This training will cover the basics for a variety of scenarios and will provide you with the foundation to build and use Reports and Dashboards in your organisation</w:t>
      </w:r>
    </w:p>
    <w:p>
      <w:pPr/>
      <w:r/>
      <w:r>
        <w:rPr>
          <w:b/>
          <w:color w:val="FF0000"/>
        </w:rPr>
        <w:t>Watch the comprehensive video tutorial on OpenText Reporting and Dashboards</w:t>
      </w:r>
      <w:r>
        <w:rPr>
          <w:i/>
          <w:color w:val="0000FF"/>
        </w:rPr>
        <w:t xml:space="preserve"> (No explanation.)</w:t>
      </w:r>
      <w:r/>
    </w:p>
    <w:p>
      <w:pPr/>
      <w:r/>
      <w:r>
        <w:rPr>
          <w:b/>
          <w:color w:val="FF0000"/>
        </w:rPr>
        <w:t>To effectively manage the course flow, consider incorporating the following elements:</w:t>
      </w:r>
      <w:r>
        <w:rPr>
          <w:i/>
          <w:color w:val="0000FF"/>
        </w:rPr>
        <w:t xml:space="preserve"> (No explanation.)</w:t>
      </w:r>
      <w:r/>
    </w:p>
    <w:p>
      <w:pPr>
        <w:pStyle w:val="ListNumber"/>
      </w:pPr>
      <w:r>
        <w:t>Use the  navigation buttons to go back and forth between the course subjects.</w:t>
      </w:r>
    </w:p>
    <w:p>
      <w:pPr>
        <w:pStyle w:val="ListNumber"/>
      </w:pPr>
      <w:r/>
      <w:r>
        <w:rPr>
          <w:b/>
          <w:color w:val="FF0000"/>
        </w:rPr>
        <w:t>The navigation menu will open and close using the menu button on the left.</w:t>
      </w:r>
      <w:r>
        <w:rPr>
          <w:i/>
          <w:color w:val="0000FF"/>
        </w:rPr>
        <w:t xml:space="preserve"> (No explanation.)</w:t>
      </w:r>
      <w:r/>
    </w:p>
    <w:p>
      <w:pPr>
        <w:pStyle w:val="ListNumber"/>
      </w:pPr>
      <w:r>
        <w:t>The  button will toggle between narrow and wide views.</w:t>
      </w:r>
    </w:p>
    <w:p>
      <w:pPr>
        <w:pStyle w:val="ListNumber"/>
      </w:pPr>
      <w:r/>
      <w:r>
        <w:rPr>
          <w:b/>
          <w:color w:val="FF0000"/>
        </w:rPr>
        <w:t>Many images in the course can be clicked to expand the view to full size.</w:t>
      </w:r>
      <w:r>
        <w:rPr>
          <w:i/>
          <w:color w:val="0000FF"/>
        </w:rPr>
        <w:t xml:space="preserve"> (Grammar and wording improvements to maintain parallelism and clarity.)</w:t>
      </w:r>
      <w:r/>
    </w:p>
    <w:p>
      <w:pPr/>
      <w:r>
        <w:t>Let's begin!</w:t>
      </w:r>
    </w:p>
    <w:p>
      <w:pPr>
        <w:pStyle w:val="Heading3"/>
      </w:pPr>
      <w:r>
        <w:t>Introduction</w:t>
      </w:r>
    </w:p>
    <w:p>
      <w:pPr/>
      <w:r/>
      <w:r>
        <w:rPr>
          <w:b/>
          <w:color w:val="FF0000"/>
        </w:rPr>
        <w:t>Welcome to the OpenText Operations Data Lake Reporting and Dashboards course.</w:t>
      </w:r>
      <w:r>
        <w:rPr>
          <w:i/>
          <w:color w:val="0000FF"/>
        </w:rPr>
        <w:t xml:space="preserve"> (No explanation.)</w:t>
      </w:r>
      <w:r/>
    </w:p>
    <w:p>
      <w:pPr/>
      <w:r/>
      <w:r>
        <w:rPr>
          <w:b/>
          <w:color w:val="FF0000"/>
        </w:rPr>
        <w:t>In the subsequent period, you will explore the tools and techniques for building customized dashboards and reports.</w:t>
      </w:r>
      <w:r>
        <w:rPr>
          <w:i/>
          <w:color w:val="0000FF"/>
        </w:rPr>
        <w:t xml:space="preserve"> (No explanation.)</w:t>
      </w:r>
      <w:r/>
    </w:p>
    <w:p>
      <w:pPr/>
      <w:r>
        <w:t>Course objectives</w:t>
      </w:r>
    </w:p>
    <w:p>
      <w:pPr/>
      <w:r>
        <w:t>On completion of this course, you should be able to:</w:t>
      </w:r>
    </w:p>
    <w:p>
      <w:pPr>
        <w:pStyle w:val="ListBullet"/>
      </w:pPr>
      <w:r/>
      <w:r>
        <w:rPr>
          <w:b/>
          <w:color w:val="FF0000"/>
        </w:rPr>
        <w:t>Navigate through the cloud user interface to access Flex Reports and Stakeholder Dashboards.</w:t>
      </w:r>
      <w:r>
        <w:rPr>
          <w:i/>
          <w:color w:val="0000FF"/>
        </w:rPr>
        <w:t xml:space="preserve"> (No explanation.)</w:t>
      </w:r>
      <w:r/>
    </w:p>
    <w:p>
      <w:pPr>
        <w:pStyle w:val="ListBullet"/>
      </w:pPr>
      <w:r/>
      <w:r>
        <w:rPr>
          <w:b/>
          <w:color w:val="FF0000"/>
        </w:rPr>
        <w:t>Utilize the Operations Bridge Manager (OBM) data source in conjunction with Out-of-the-box (OOTB) Flex Reports and Stakeholder Dashboards.</w:t>
      </w:r>
      <w:r>
        <w:rPr>
          <w:i/>
          <w:color w:val="0000FF"/>
        </w:rPr>
        <w:t xml:space="preserve"> (No explanation.)</w:t>
      </w:r>
      <w:r/>
    </w:p>
    <w:p>
      <w:pPr>
        <w:pStyle w:val="ListBullet"/>
      </w:pPr>
      <w:r/>
      <w:r>
        <w:rPr>
          <w:b/>
          <w:color w:val="FF0000"/>
        </w:rPr>
        <w:t>Create and populate custom reports and dashboards from ODL containing infrastructure, configuration, and performance data.</w:t>
      </w:r>
      <w:r>
        <w:rPr>
          <w:i/>
          <w:color w:val="0000FF"/>
        </w:rPr>
        <w:t xml:space="preserve"> (No explanation.)</w:t>
      </w:r>
      <w:r/>
    </w:p>
    <w:p>
      <w:pPr>
        <w:pStyle w:val="ListBullet"/>
      </w:pPr>
      <w:r/>
      <w:r>
        <w:rPr>
          <w:b/>
          <w:color w:val="FF0000"/>
        </w:rPr>
        <w:t>Explain ODL data sources and their role in reporting and dashboards.</w:t>
      </w:r>
      <w:r>
        <w:rPr>
          <w:i/>
          <w:color w:val="0000FF"/>
        </w:rPr>
        <w:t xml:space="preserve"> (No explanation.)</w:t>
      </w:r>
      <w:r/>
    </w:p>
    <w:p>
      <w:pPr>
        <w:pStyle w:val="ListBullet"/>
      </w:pPr>
      <w:r/>
      <w:r>
        <w:rPr>
          <w:b/>
          <w:color w:val="FF0000"/>
        </w:rPr>
        <w:t>Utilize the Stakeholder Dashboard to effectively categorize and visualize various data types.</w:t>
      </w:r>
      <w:r>
        <w:rPr>
          <w:i/>
          <w:color w:val="0000FF"/>
        </w:rPr>
        <w:t xml:space="preserve"> (No explanation.)</w:t>
      </w:r>
      <w:r/>
    </w:p>
    <w:p>
      <w:pPr>
        <w:pStyle w:val="ListBullet"/>
      </w:pPr>
      <w:r/>
      <w:r>
        <w:rPr>
          <w:b/>
          <w:color w:val="FF0000"/>
        </w:rPr>
        <w:t>Navigate the stakeholder dashboard UI.</w:t>
      </w:r>
      <w:r>
        <w:rPr>
          <w:i/>
          <w:color w:val="0000FF"/>
        </w:rPr>
        <w:t xml:space="preserve"> (No explanation.)</w:t>
      </w:r>
      <w:r/>
    </w:p>
    <w:p>
      <w:pPr>
        <w:pStyle w:val="ListBullet"/>
      </w:pPr>
      <w:r/>
      <w:r>
        <w:rPr>
          <w:b/>
          <w:color w:val="FF0000"/>
        </w:rPr>
        <w:t>Establish stakeholder dashboards to effectively gather and visualize key information for targeted user groups.</w:t>
      </w:r>
      <w:r>
        <w:rPr>
          <w:i/>
          <w:color w:val="0000FF"/>
        </w:rPr>
        <w:t xml:space="preserve"> (The revised text adheres to the provided style guide principles, including minimal corrections for clarity and conciseness.)</w:t>
      </w:r>
      <w:r/>
    </w:p>
    <w:p>
      <w:pPr>
        <w:pStyle w:val="ListBullet"/>
      </w:pPr>
      <w:r/>
      <w:r>
        <w:rPr>
          <w:b/>
          <w:color w:val="FF0000"/>
        </w:rPr>
        <w:t>Integrate the OpenText™ Operations Bridge Manager data sources with the Stakeholder Dashboard.</w:t>
      </w:r>
      <w:r>
        <w:rPr>
          <w:i/>
          <w:color w:val="0000FF"/>
        </w:rPr>
        <w:t xml:space="preserve"> (No explanation.)</w:t>
      </w:r>
      <w:r/>
    </w:p>
    <w:p>
      <w:pPr>
        <w:pStyle w:val="ListBullet"/>
      </w:pPr>
      <w:r/>
      <w:r>
        <w:rPr>
          <w:b/>
          <w:color w:val="FF0000"/>
        </w:rPr>
        <w:t>Learn about OpenText Operations Bridge Manager data source using Operational Reports.</w:t>
      </w:r>
      <w:r>
        <w:rPr>
          <w:i/>
          <w:color w:val="0000FF"/>
        </w:rPr>
        <w:t xml:space="preserve"> (Corrected the sentence structure and used more concise and precise language while preserving the original meaning.)</w:t>
      </w:r>
      <w:r/>
    </w:p>
    <w:p>
      <w:pPr/>
      <w:r>
        <w:t>Course overview</w:t>
      </w:r>
    </w:p>
    <w:p>
      <w:pPr/>
      <w:r/>
      <w:r>
        <w:rPr>
          <w:b/>
          <w:color w:val="FF0000"/>
        </w:rPr>
        <w:t>This entry-level course is designed for technical professionals who are new to using stakeholder dashboards and Flex Reports, leveraging various data sources.</w:t>
      </w:r>
      <w:r>
        <w:rPr>
          <w:i/>
          <w:color w:val="0000FF"/>
        </w:rPr>
        <w:t xml:space="preserve"> (The text adheres to Microsoft Style Guide principles, correcting spelling and grammar errors while preserving abbreviations and technical terms.)</w:t>
      </w:r>
      <w:r>
        <w:t xml:space="preserve"> These are included with Containerized AI Operations Management 25.x.</w:t>
      </w:r>
    </w:p>
    <w:p>
      <w:pPr/>
      <w:r/>
      <w:r>
        <w:rPr>
          <w:b/>
          <w:color w:val="FF0000"/>
        </w:rPr>
        <w:t>This course provides hands-on experience in managing and presenting OpenText™ AI Operations Management reporting data through Stakeholder Dashboards and Flex Reports, utilizing data sourced from ODL, OBM, and other sources.</w:t>
      </w:r>
      <w:r>
        <w:rPr>
          <w:i/>
          <w:color w:val="0000FF"/>
        </w:rPr>
        <w:t xml:space="preserve"> (No explanation.)</w:t>
      </w:r>
      <w:r/>
    </w:p>
    <w:p>
      <w:pPr/>
      <w:r/>
      <w:r>
        <w:rPr>
          <w:b/>
          <w:color w:val="FF0000"/>
        </w:rPr>
        <w:t>This course is designed for individuals involved in designing, implementing, and managing effective service operations capabilities for critical business services.</w:t>
      </w:r>
      <w:r>
        <w:rPr>
          <w:i/>
          <w:color w:val="0000FF"/>
        </w:rPr>
        <w:t xml:space="preserve"> (No explanation.)</w:t>
      </w:r>
      <w:r/>
    </w:p>
    <w:p>
      <w:pPr/>
      <w:r/>
      <w:r>
        <w:rPr>
          <w:b/>
          <w:color w:val="FF0000"/>
        </w:rPr>
        <w:t>Courses related to</w:t>
      </w:r>
      <w:r>
        <w:rPr>
          <w:i/>
          <w:color w:val="0000FF"/>
        </w:rPr>
        <w:t xml:space="preserve"> (Corrected the phrase to use more precise and informative language.)</w:t>
      </w:r>
      <w:r/>
    </w:p>
    <w:p>
      <w:pPr/>
      <w:r/>
      <w:r>
        <w:rPr>
          <w:b/>
          <w:color w:val="FF0000"/>
        </w:rPr>
        <w:t>OpenText™ AI Operations Management offers a range of components that provide insights for the dashboards and reports presented in this course.</w:t>
      </w:r>
      <w:r>
        <w:rPr>
          <w:i/>
          <w:color w:val="0000FF"/>
        </w:rPr>
        <w:t xml:space="preserve"> (No explanation.)</w:t>
      </w:r>
      <w:r/>
    </w:p>
    <w:p>
      <w:pPr/>
      <w:r>
        <w:t>The courses that deal with collecting and managing the data are:</w:t>
      </w:r>
    </w:p>
    <w:p>
      <w:pPr>
        <w:pStyle w:val="ListBullet"/>
      </w:pPr>
      <w:r/>
      <w:r>
        <w:rPr>
          <w:b/>
          <w:color w:val="FF0000"/>
        </w:rPr>
        <w:t>Data Collection for ODL 3-6358</w:t>
      </w:r>
      <w:r>
        <w:rPr>
          <w:i/>
          <w:color w:val="0000FF"/>
        </w:rPr>
        <w:t xml:space="preserve"> (Corrected the text to be more concise and specific, using proper nouns and removing unnecessary information.)</w:t>
      </w:r>
      <w:r/>
    </w:p>
    <w:p>
      <w:pPr>
        <w:pStyle w:val="ListBullet"/>
      </w:pPr>
      <w:r/>
      <w:r>
        <w:rPr>
          <w:b/>
          <w:color w:val="FF0000"/>
        </w:rPr>
        <w:t>OpenText Operations Bridge Manager Fundamentals: A Comprehensive Guide</w:t>
      </w:r>
      <w:r>
        <w:rPr>
          <w:i/>
          <w:color w:val="0000FF"/>
        </w:rPr>
        <w:t xml:space="preserve"> (No explanation.)</w:t>
      </w:r>
      <w:r/>
    </w:p>
    <w:p>
      <w:pPr>
        <w:pStyle w:val="ListBullet"/>
      </w:pPr>
      <w:r/>
      <w:r>
        <w:rPr>
          <w:b/>
          <w:color w:val="FF0000"/>
        </w:rPr>
        <w:t>3-6317: OpenText Operations Bridge Manager - Event Processing, Automation and Correlation</w:t>
      </w:r>
      <w:r>
        <w:rPr>
          <w:i/>
          <w:color w:val="0000FF"/>
        </w:rPr>
        <w:t xml:space="preserve"> (No explanation.)</w:t>
      </w:r>
      <w:r/>
    </w:p>
    <w:p>
      <w:pPr>
        <w:pStyle w:val="ListBullet"/>
      </w:pPr>
      <w:r/>
      <w:r>
        <w:rPr>
          <w:b/>
          <w:color w:val="FF0000"/>
        </w:rPr>
        <w:t>3-6318: OpenText Operations Bridge Manager Monitoring Automation</w:t>
      </w:r>
      <w:r>
        <w:rPr>
          <w:i/>
          <w:color w:val="0000FF"/>
        </w:rPr>
        <w:t xml:space="preserve"> (No explanation.)</w:t>
      </w:r>
      <w:r/>
    </w:p>
    <w:p>
      <w:pPr>
        <w:pStyle w:val="ListBullet"/>
      </w:pPr>
      <w:r>
        <w:t xml:space="preserve">APM120 – </w:t>
      </w:r>
      <w:r>
        <w:rPr>
          <w:b/>
          <w:color w:val="FF0000"/>
        </w:rPr>
        <w:t>Essentials of Application Performance Management</w:t>
      </w:r>
      <w:r>
        <w:rPr>
          <w:i/>
          <w:color w:val="0000FF"/>
        </w:rPr>
        <w:t xml:space="preserve"> (The text has been corrected to use more concise and precise language, while preserving the original meaning.)</w:t>
      </w:r>
      <w:r/>
    </w:p>
    <w:p>
      <w:pPr>
        <w:pStyle w:val="ListBullet"/>
      </w:pPr>
      <w:r/>
      <w:r>
        <w:rPr>
          <w:b/>
          <w:color w:val="FF0000"/>
        </w:rPr>
        <w:t>Application Performance Management (APM) 220 – Advanced</w:t>
      </w:r>
      <w:r>
        <w:rPr>
          <w:i/>
          <w:color w:val="0000FF"/>
        </w:rPr>
        <w:t xml:space="preserve"> (No explanation.)</w:t>
      </w:r>
      <w:r/>
    </w:p>
    <w:p>
      <w:pPr/>
      <w:r/>
      <w:r>
        <w:rPr>
          <w:b/>
          <w:color w:val="FF0000"/>
        </w:rPr>
        <w:t>To find out more about OpenText training solutions, explore our resources or contact your instructor.</w:t>
      </w:r>
      <w:r>
        <w:rPr>
          <w:i/>
          <w:color w:val="0000FF"/>
        </w:rPr>
        <w:t xml:space="preserve"> (Corrected the verb tense, removed unnecessary punctuation, and improved grammar.)</w:t>
      </w:r>
      <w:r/>
    </w:p>
    <w:p>
      <w:r>
        <w:drawing>
          <wp:inline xmlns:a="http://schemas.openxmlformats.org/drawingml/2006/main" xmlns:pic="http://schemas.openxmlformats.org/drawingml/2006/picture">
            <wp:extent cx="5486400" cy="82015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2015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5"/>
      </w:pPr>
      <w:r/>
      <w:r>
        <w:rPr>
          <w:b/>
          <w:color w:val="FF0000"/>
        </w:rPr>
        <w:t>Oh no!</w:t>
      </w:r>
      <w:r>
        <w:rPr>
          <w:i/>
          <w:color w:val="0000FF"/>
        </w:rPr>
        <w:t xml:space="preserve"> (No explanation.)</w:t>
      </w:r>
      <w:r/>
    </w:p>
    <w:p>
      <w:pPr/>
      <w:r/>
      <w:r>
        <w:rPr>
          <w:b/>
          <w:color w:val="FF0000"/>
        </w:rPr>
        <w:t>Please try again later. Contact LearnExperts if the issue persists.</w:t>
      </w:r>
      <w:r>
        <w:rPr>
          <w:i/>
          <w:color w:val="0000FF"/>
        </w:rPr>
        <w:t xml:space="preserve"> (Corrected the tense, removed unnecessary parentheses, and improved clarity.)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