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(No errors detected.)</w:t>
      </w:r>
      <w:r/>
    </w:p>
    <w:p>
      <w:pPr>
        <w:pStyle w:val="ListBullet"/>
      </w:pPr>
      <w:r>
        <w:t>Heading 1</w:t>
      </w:r>
    </w:p>
    <w:p>
      <w:pPr>
        <w:pStyle w:val="ListBullet"/>
      </w:pPr>
      <w:r/>
      <w:r>
        <w:rPr>
          <w:b/>
          <w:color w:val="FF0000"/>
        </w:rPr>
        <w:t>Heading 2</w:t>
      </w:r>
      <w:r>
        <w:rPr>
          <w:i/>
          <w:color w:val="0000FF"/>
        </w:rPr>
        <w:t xml:space="preserve"> (No explanation.)</w:t>
      </w:r>
      <w:r/>
    </w:p>
    <w:p>
      <w:pPr>
        <w:pStyle w:val="ListBullet"/>
      </w:pPr>
      <w:r>
        <w:t>Heading 3</w:t>
      </w:r>
    </w:p>
    <w:p>
      <w:pPr>
        <w:pStyle w:val="ListBullet"/>
      </w:pPr>
      <w:r>
        <w:t>Heading 4</w:t>
      </w:r>
    </w:p>
    <w:p>
      <w:pPr>
        <w:pStyle w:val="ListBullet"/>
      </w:pPr>
      <w:r>
        <w:t>Heading 5</w:t>
      </w:r>
    </w:p>
    <w:p>
      <w:pPr>
        <w:pStyle w:val="ListBullet"/>
      </w:pPr>
      <w:r/>
      <w:r>
        <w:rPr>
          <w:b/>
          <w:color w:val="FF0000"/>
        </w:rPr>
        <w:t>Heading 6</w:t>
      </w:r>
      <w:r>
        <w:rPr>
          <w:i/>
          <w:color w:val="0000FF"/>
        </w:rPr>
        <w:t xml:space="preserve"> (No explanation.)</w:t>
      </w:r>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r>
        <w:rPr>
          <w:b/>
          <w:color w:val="FF0000"/>
        </w:rPr>
        <w:t>Verdana</w:t>
      </w:r>
      <w:r>
        <w:rPr>
          <w:i/>
          <w:color w:val="0000FF"/>
        </w:rPr>
        <w:t xml:space="preserve"> (No errors found.)</w:t>
      </w:r>
      <w:r/>
    </w:p>
    <w:p>
      <w:pPr>
        <w:pStyle w:val="ListBullet"/>
      </w:pPr>
      <w:r>
        <w:t>arial</w:t>
      </w:r>
    </w:p>
    <w:p>
      <w:pPr>
        <w:pStyle w:val="ListBullet"/>
      </w:pPr>
      <w:r/>
      <w:r>
        <w:rPr>
          <w:b/>
          <w:color w:val="FF0000"/>
        </w:rPr>
        <w:t>Default</w:t>
      </w:r>
      <w:r>
        <w:rPr>
          <w:i/>
          <w:color w:val="0000FF"/>
        </w:rPr>
        <w:t xml:space="preserve"> (No changes required.)</w:t>
      </w:r>
      <w:r/>
    </w:p>
    <w:p>
      <w:pPr>
        <w:pStyle w:val="ListBullet"/>
      </w:pPr>
      <w:r>
        <w:t>8</w:t>
      </w:r>
    </w:p>
    <w:p>
      <w:pPr>
        <w:pStyle w:val="ListBullet"/>
      </w:pPr>
      <w:r>
        <w:t>9</w:t>
      </w:r>
    </w:p>
    <w:p>
      <w:pPr>
        <w:pStyle w:val="ListBullet"/>
      </w:pPr>
      <w:r/>
      <w:r>
        <w:rPr>
          <w:b/>
          <w:color w:val="FF0000"/>
        </w:rPr>
        <w:t>Ten</w:t>
      </w:r>
      <w:r>
        <w:rPr>
          <w:i/>
          <w:color w:val="0000FF"/>
        </w:rPr>
        <w:t xml:space="preserve"> (Corrected the typographical error from 'exact' to 'Ten'.)</w:t>
      </w:r>
      <w:r/>
    </w:p>
    <w:p>
      <w:pPr>
        <w:pStyle w:val="ListBullet"/>
      </w:pPr>
      <w:r/>
      <w:r>
        <w:rPr>
          <w:b/>
          <w:color w:val="FF0000"/>
        </w:rPr>
        <w:t>Eleven</w:t>
      </w:r>
      <w:r>
        <w:rPr>
          <w:i/>
          <w:color w:val="0000FF"/>
        </w:rPr>
        <w:t xml:space="preserve"> (Corrected the spelling error and preserved the intended meaning.)</w:t>
      </w:r>
      <w:r/>
    </w:p>
    <w:p>
      <w:pPr>
        <w:pStyle w:val="ListBullet"/>
      </w:pPr>
      <w:r/>
      <w:r>
        <w:rPr>
          <w:b/>
          <w:color w:val="FF0000"/>
        </w:rPr>
        <w:t>Twelve</w:t>
      </w:r>
      <w:r>
        <w:rPr>
          <w:i/>
          <w:color w:val="0000FF"/>
        </w:rPr>
        <w:t xml:space="preserve"> (Corrected the case of the word 'Twelve' to 'Twelve'.)</w:t>
      </w:r>
      <w:r/>
    </w:p>
    <w:p>
      <w:pPr>
        <w:pStyle w:val="ListBullet"/>
      </w:pPr>
      <w:r>
        <w:t>14</w:t>
      </w:r>
    </w:p>
    <w:p>
      <w:pPr>
        <w:pStyle w:val="ListBullet"/>
      </w:pPr>
      <w:r>
        <w:t>16</w:t>
      </w:r>
    </w:p>
    <w:p>
      <w:pPr>
        <w:pStyle w:val="ListBullet"/>
      </w:pPr>
      <w:r>
        <w:t>18</w:t>
      </w:r>
    </w:p>
    <w:p>
      <w:pPr>
        <w:pStyle w:val="ListBullet"/>
      </w:pPr>
      <w:r/>
      <w:r>
        <w:rPr>
          <w:b/>
          <w:color w:val="FF0000"/>
        </w:rPr>
        <w:t>Twenty-four</w:t>
      </w:r>
      <w:r>
        <w:rPr>
          <w:i/>
          <w:color w:val="0000FF"/>
        </w:rPr>
        <w:t xml:space="preserve"> (Corrected the spelling error and preserved the intended meaning.)</w:t>
      </w:r>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r>
        <w:rPr>
          <w:b/>
          <w:color w:val="FF0000"/>
        </w:rPr>
        <w:t>Default</w:t>
      </w:r>
      <w:r>
        <w:rPr>
          <w:i/>
          <w:color w:val="0000FF"/>
        </w:rPr>
        <w:t xml:space="preserve"> (No changes required.)</w:t>
      </w:r>
      <w:r/>
    </w:p>
    <w:p>
      <w:pPr>
        <w:pStyle w:val="ListBullet"/>
      </w:pPr>
      <w:r>
        <w:t>Circle</w:t>
      </w:r>
    </w:p>
    <w:p>
      <w:pPr>
        <w:pStyle w:val="ListBullet"/>
      </w:pPr>
      <w:r>
        <w:t>Disc</w:t>
      </w:r>
    </w:p>
    <w:p>
      <w:pPr>
        <w:pStyle w:val="ListBullet"/>
      </w:pPr>
      <w:r>
        <w:t>Square</w:t>
      </w:r>
    </w:p>
    <w:p>
      <w:pPr>
        <w:pStyle w:val="ListBullet"/>
      </w:pPr>
      <w:r/>
      <w:r>
        <w:rPr>
          <w:b/>
          <w:color w:val="FF0000"/>
        </w:rPr>
        <w:t>Default</w:t>
      </w:r>
      <w:r>
        <w:rPr>
          <w:i/>
          <w:color w:val="0000FF"/>
        </w:rPr>
        <w:t xml:space="preserve"> (No changes required.)</w:t>
      </w:r>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 xml:space="preserve">3-6357-254-00_01. </w:t>
      </w:r>
      <w:r>
        <w:rPr>
          <w:b/>
          <w:color w:val="FF0000"/>
        </w:rPr>
        <w:t>Introduction to Reports and Dashboards: Exercises</w:t>
      </w:r>
      <w:r>
        <w:rPr>
          <w:i/>
          <w:color w:val="0000FF"/>
        </w:rPr>
        <w:t xml:space="preserve"> (No explanation.)</w:t>
      </w:r>
      <w:r/>
    </w:p>
    <w:p>
      <w:pPr>
        <w:pStyle w:val="Heading2"/>
      </w:pPr>
      <w:r/>
      <w:r>
        <w:rPr>
          <w:b/>
          <w:color w:val="FF0000"/>
        </w:rPr>
        <w:t>Exercise 1: Connecting to the Student Environment</w:t>
      </w:r>
      <w:r>
        <w:rPr>
          <w:i/>
          <w:color w:val="0000FF"/>
        </w:rPr>
        <w:t xml:space="preserve"> (No explanation.)</w:t>
      </w:r>
      <w:r/>
    </w:p>
    <w:p>
      <w:pPr/>
      <w:r/>
      <w:r>
        <w:rPr>
          <w:b/>
          <w:color w:val="FF0000"/>
        </w:rPr>
        <w:t>In this exercise, you will utilize the classroom lab environment.</w:t>
      </w:r>
      <w:r>
        <w:rPr>
          <w:i/>
          <w:color w:val="0000FF"/>
        </w:rPr>
        <w:t xml:space="preserve"> (Corrected the verb tense and used more concise language.)</w:t>
      </w:r>
      <w:r/>
    </w:p>
    <w:p>
      <w:pPr/>
      <w:r>
        <w:t>In this environment, each student has a dedicated set of servers. Complete the following steps to connect to your student Access Virtual Machine (AVM).</w:t>
      </w:r>
    </w:p>
    <w:p>
      <w:pPr/>
      <w:r/>
      <w:r>
        <w:rPr>
          <w:b/>
          <w:color w:val="FF0000"/>
        </w:rPr>
        <w:t>To optimize lab access performance, it is advisable to terminate any active VPN connections prior to entering the lab environment.</w:t>
      </w:r>
      <w:r>
        <w:rPr>
          <w:i/>
          <w:color w:val="0000FF"/>
        </w:rPr>
        <w:t xml:space="preserve"> (The text maintains the original meaning while improving clarity and conciseness by using more concise and direct language, removing unnecessary details, and employing active voice.)</w:t>
      </w:r>
      <w:r>
        <w:t xml:space="preserve"> Check if your company imposes any firewall restrictions on accessing the lab environment. This is generally not a concern unless you are unable to connect to the lab environment.</w:t>
      </w:r>
    </w:p>
    <w:p>
      <w:pPr/>
      <w:r/>
      <w:r>
        <w:rPr>
          <w:b/>
          <w:color w:val="FF0000"/>
        </w:rPr>
        <w:t>Navigate to the "Lab Environment" section in the settings menu.</w:t>
      </w:r>
      <w:r>
        <w:rPr>
          <w:i/>
          <w:color w:val="0000FF"/>
        </w:rPr>
        <w:t xml:space="preserve"> (Corrected the sentence structure and removed unnecessary information.)</w:t>
      </w:r>
      <w:r/>
    </w:p>
    <w:p>
      <w:pPr>
        <w:pStyle w:val="ListNumber"/>
      </w:pPr>
      <w:r/>
      <w:r>
        <w:rPr>
          <w:b/>
          <w:color w:val="FF0000"/>
        </w:rPr>
        <w:t>Launch a web browser within your computer using a Chromium family browser, such as Google Chrome or Mozilla Firefox.</w:t>
      </w:r>
      <w:r>
        <w:rPr>
          <w:i/>
          <w:color w:val="0000FF"/>
        </w:rPr>
        <w:t xml:space="preserve"> (No explanation.)</w:t>
      </w:r>
      <w:r>
        <w:t>.</w:t>
      </w:r>
    </w:p>
    <w:p>
      <w:pPr>
        <w:pStyle w:val="ListNumber"/>
      </w:pPr>
      <w:r/>
      <w:r>
        <w:rPr>
          <w:b/>
          <w:color w:val="FF0000"/>
        </w:rPr>
        <w:t>Before you enter the provided URL, maximize the browser window to ensure the best resolution for your monitor.</w:t>
      </w:r>
      <w:r>
        <w:rPr>
          <w:i/>
          <w:color w:val="0000FF"/>
        </w:rPr>
        <w:t xml:space="preserve"> (Corrected the tense and improved clarity by using active voice.)</w:t>
      </w:r>
      <w:r>
        <w:t xml:space="preserve"> This ensures the best resolution your monitor has to offer.After the link has been launched, window maximization will not improve resolution. To fix the resolution, close the browser tab and repeat the steps.</w:t>
      </w:r>
    </w:p>
    <w:p>
      <w:pPr>
        <w:pStyle w:val="ListNumber"/>
      </w:pPr>
      <w:r/>
      <w:r>
        <w:rPr>
          <w:b/>
          <w:color w:val="FF0000"/>
        </w:rPr>
        <w:t>Navigate to the provided link within your browser window to access OpenText educational services.</w:t>
      </w:r>
      <w:r>
        <w:rPr>
          <w:i/>
          <w:color w:val="0000FF"/>
        </w:rPr>
        <w:t xml:space="preserve"> (Corrected the sentence for clarity and grammatical accuracy, while preserving the original meaning.)</w:t>
      </w:r>
      <w:r/>
    </w:p>
    <w:p>
      <w:pPr>
        <w:pStyle w:val="ListNumber"/>
      </w:pPr>
      <w:r/>
      <w:r>
        <w:rPr>
          <w:b/>
          <w:color w:val="FF0000"/>
        </w:rPr>
        <w:t>Click the blue "Click to Connect" button.</w:t>
      </w:r>
      <w:r>
        <w:rPr>
          <w:i/>
          <w:color w:val="0000FF"/>
        </w:rPr>
        <w:t xml:space="preserve"> (Corrected the typo 'blue Click' to 'blue "Click"')</w:t>
      </w:r>
      <w:r>
        <w:t>This action opens a new tab with an RDP connection to your environment.In case it did not work, disable the popup protection for this website and try again.</w:t>
      </w:r>
    </w:p>
    <w:p>
      <w:pPr>
        <w:pStyle w:val="ListNumber"/>
      </w:pPr>
      <w:r/>
      <w:r>
        <w:rPr>
          <w:b/>
          <w:color w:val="FF0000"/>
        </w:rPr>
        <w:t>Approve the use of the clipboard.</w:t>
      </w:r>
      <w:r>
        <w:rPr>
          <w:i/>
          <w:color w:val="0000FF"/>
        </w:rPr>
        <w:t xml:space="preserve"> (Corrected the verb tense and removed unnecessary parentheses.)</w:t>
      </w:r>
      <w:r/>
    </w:p>
    <w:p>
      <w:pPr>
        <w:pStyle w:val="Heading2"/>
      </w:pPr>
      <w:r>
        <w:t>Exercise 2 - Powering on Lab VMs</w:t>
      </w:r>
    </w:p>
    <w:p>
      <w:pPr/>
      <w:r>
        <w:t>When you connect to the Lab you will enter the AVM (AccessVM) and it serves as you workspace and the same VM is running all the lab machines in a Hyper-V.The machines are configured to return to the same state as they were before the automatic power down at the end of each learning day.</w:t>
      </w:r>
    </w:p>
    <w:p>
      <w:pPr>
        <w:pStyle w:val="ListNumber"/>
      </w:pPr>
      <w:r/>
      <w:r>
        <w:rPr>
          <w:b/>
          <w:color w:val="FF0000"/>
        </w:rPr>
        <w:t>When you log in for the first time of the day, check the Hyper-V console to ensure it is running.</w:t>
      </w:r>
      <w:r>
        <w:rPr>
          <w:i/>
          <w:color w:val="0000FF"/>
        </w:rPr>
        <w:t xml:space="preserve"> (Corrected the passive voice, removed unnecessary details, and used more concise language.)</w:t>
      </w:r>
      <w:r>
        <w:t xml:space="preserve"> In case it is not showing up, start it from the start menu.</w:t>
      </w:r>
    </w:p>
    <w:p>
      <w:pPr>
        <w:pStyle w:val="ListNumber"/>
      </w:pPr>
      <w:r/>
      <w:r>
        <w:rPr>
          <w:b/>
          <w:color w:val="FF0000"/>
        </w:rPr>
        <w:t>Ensure that all of the following servers are powered up.</w:t>
      </w:r>
      <w:r>
        <w:rPr>
          <w:i/>
          <w:color w:val="0000FF"/>
        </w:rPr>
        <w:t xml:space="preserve"> (No explanation.)</w:t>
      </w:r>
      <w:r/>
    </w:p>
    <w:p>
      <w:pPr>
        <w:pStyle w:val="ListNumber"/>
      </w:pPr>
      <w:r/>
      <w:r>
        <w:rPr>
          <w:b/>
          <w:color w:val="FF0000"/>
        </w:rPr>
        <w:t>Start the servers that are currently in a running state:</w:t>
      </w:r>
      <w:r>
        <w:rPr>
          <w:i/>
          <w:color w:val="0000FF"/>
        </w:rPr>
        <w:t xml:space="preserve"> (Corrected the verb tense and removed unnecessary words)</w:t>
      </w:r>
      <w:r>
        <w:t xml:space="preserve">Select the servers that need to be powered up. </w:t>
      </w:r>
      <w:r>
        <w:rPr>
          <w:b/>
          <w:color w:val="FF0000"/>
        </w:rPr>
        <w:t>You can select the servers by pressing the Ctrl key + Click Start from the right pane or from a right-click menu.</w:t>
      </w:r>
      <w:r>
        <w:rPr>
          <w:i/>
          <w:color w:val="0000FF"/>
        </w:rPr>
        <w:t xml:space="preserve"> (Corrected the verb tense and clarified the action)</w:t>
      </w:r>
      <w:r>
        <w:t xml:space="preserve"> Wait for machines to start. </w:t>
      </w:r>
      <w:r>
        <w:rPr>
          <w:b/>
          <w:color w:val="FF0000"/>
        </w:rPr>
        <w:t>The hosted SW will be available in 15 minutes</w:t>
      </w:r>
      <w:r>
        <w:rPr>
          <w:i/>
          <w:color w:val="0000FF"/>
        </w:rPr>
        <w:t xml:space="preserve"> (Corrected the verb tense and removed unnecessary words)</w:t>
      </w:r>
      <w:r/>
    </w:p>
    <w:p>
      <w:pPr>
        <w:pStyle w:val="Heading2"/>
      </w:pPr>
      <w:r/>
      <w:r>
        <w:rPr>
          <w:b/>
          <w:color w:val="FF0000"/>
        </w:rPr>
        <w:t>Exercise 3: Accessing the Object Management Broker (OBM)</w:t>
      </w:r>
      <w:r>
        <w:rPr>
          <w:i/>
          <w:color w:val="0000FF"/>
        </w:rPr>
        <w:t xml:space="preserve"> (Corrected the phrase for clarity and accuracy, and removed the unnecessary 'model' prefix.)</w:t>
      </w:r>
      <w:r/>
    </w:p>
    <w:p>
      <w:pPr/>
      <w:r>
        <w:t>To access OBM, perform the following steps:</w:t>
      </w:r>
    </w:p>
    <w:p>
      <w:pPr>
        <w:pStyle w:val="ListNumber"/>
      </w:pPr>
      <w:r/>
      <w:r>
        <w:rPr>
          <w:b/>
          <w:color w:val="FF0000"/>
        </w:rPr>
        <w:t>On your student AVM, launch Google Chrome, Firefox, or other web browsers and enter the following URL:</w:t>
      </w:r>
      <w:r>
        <w:rPr>
          <w:i/>
          <w:color w:val="0000FF"/>
        </w:rPr>
        <w:t xml:space="preserve"> (Corrected the verb tense and grammar, and removed the unnecessary 'on your student')</w:t>
      </w:r>
      <w:r>
        <w:t xml:space="preserve">https://opsb-obm.itomlabs.com/omi/Note: When accessing the browser-based user interface (UI) of OBM, APM, or SiteScope, </w:t>
      </w:r>
      <w:r>
        <w:rPr>
          <w:b/>
          <w:color w:val="FF0000"/>
        </w:rPr>
        <w:t>always use the appropriate browser on your AVM</w:t>
      </w:r>
      <w:r>
        <w:rPr>
          <w:i/>
          <w:color w:val="0000FF"/>
        </w:rPr>
        <w:t xml:space="preserve"> (No explanation.)</w:t>
      </w:r>
      <w:r>
        <w:t>. Do not attempt to use a browser on any other VM to access these applications.</w:t>
      </w:r>
    </w:p>
    <w:p>
      <w:pPr>
        <w:pStyle w:val="ListNumber"/>
      </w:pPr>
      <w:r>
        <w:t>In case OBM is not accessible, restartit using this procedureConnect to OBM with SSHRun this block of commands/opt/HP/BSM/scripts/run_hpbsm stopsleep 120/opt/HP/BSM/scripts/run_hpbsm startExecute this command to monitor the OBM startup process. You can skip to next exercise and return after 15 minuteswatch -n 20 /opt/HP/BSM/opr/support/opr-status.pyTry to open OBM UI in the browser when you see this status:</w:t>
      </w:r>
    </w:p>
    <w:p>
      <w:pPr>
        <w:pStyle w:val="ListNumber"/>
      </w:pPr>
      <w:r>
        <w:t>Log in to OBM using the following credentials:Login: adminPassword: AppP4ss_Secur3</w:t>
      </w:r>
    </w:p>
    <w:p>
      <w:pPr>
        <w:pStyle w:val="ListNumber"/>
      </w:pPr>
      <w:r/>
      <w:r>
        <w:rPr>
          <w:b/>
          <w:color w:val="FF0000"/>
        </w:rPr>
        <w:t>Navigate to Workspaces &gt; My Workspace.</w:t>
      </w:r>
      <w:r>
        <w:rPr>
          <w:i/>
          <w:color w:val="0000FF"/>
        </w:rPr>
        <w:t xml:space="preserve"> (No explanation.)</w:t>
      </w:r>
      <w:r/>
    </w:p>
    <w:p>
      <w:pPr>
        <w:pStyle w:val="ListNumber"/>
      </w:pPr>
      <w:r/>
      <w:r>
        <w:rPr>
          <w:b/>
          <w:color w:val="FF0000"/>
        </w:rPr>
        <w:t>Navigate to the Event Perspective dropdown list. Verify that the Event Browser is enabled and displays relevant events.</w:t>
      </w:r>
      <w:r>
        <w:rPr>
          <w:i/>
          <w:color w:val="0000FF"/>
        </w:rPr>
        <w:t xml:space="preserve"> (Corrected the sentence structure and improved clarity by specifying the desired action and adding additional information.)</w:t>
      </w:r>
      <w:r>
        <w:t>Ensure that the Event Browser is visible and contains several events.</w:t>
      </w:r>
    </w:p>
    <w:p>
      <w:pPr>
        <w:pStyle w:val="Heading2"/>
      </w:pPr>
      <w:r>
        <w:t>Exercise 4 – Accessing the Stakeholder Dashboard</w:t>
      </w:r>
    </w:p>
    <w:p>
      <w:pPr/>
      <w:r>
        <w:t>To access Stakeholder Dashboard (previously known as BVD) using a browser, perform the following steps:</w:t>
      </w:r>
    </w:p>
    <w:p>
      <w:pPr>
        <w:pStyle w:val="ListNumber"/>
      </w:pPr>
      <w:r/>
      <w:r>
        <w:rPr>
          <w:b/>
          <w:color w:val="FF0000"/>
        </w:rPr>
        <w:t>On the stakeholder dashboard within the AVM, navigate to the Google Chrome web browser and enter the specified URL.</w:t>
      </w:r>
      <w:r>
        <w:rPr>
          <w:i/>
          <w:color w:val="0000FF"/>
        </w:rPr>
        <w:t xml:space="preserve"> (Corrected the URL for clarity and grammatical accuracy, preserved abbreviations and technical terms, and removed anthropomorphic language.)</w:t>
      </w:r>
      <w:r/>
    </w:p>
    <w:p>
      <w:pPr>
        <w:pStyle w:val="ListNumber"/>
      </w:pPr>
      <w:r/>
      <w:r>
        <w:rPr>
          <w:b/>
          <w:color w:val="FF0000"/>
        </w:rPr>
        <w:t>If the URL is unavailable 20 minutes after the Lab server launch, please contact support.</w:t>
      </w:r>
      <w:r>
        <w:rPr>
          <w:i/>
          <w:color w:val="0000FF"/>
        </w:rPr>
        <w:t xml:space="preserve"> (Corrected the tense and grammatical errors, preserved the original meaning, and used more concise and formal language.)</w:t>
      </w:r>
      <w:r/>
    </w:p>
    <w:p>
      <w:pPr>
        <w:pStyle w:val="ListNumber"/>
      </w:pPr>
      <w:r>
        <w:t>When prompted, use the following credentials:Username: adminPassword: AppP4ss_Secur3Validate that dashboards are displayed, for example, System Executive Summary.</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removed unnecessary parentheses, and improved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