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6B01" w14:textId="77777777" w:rsidR="0062667A" w:rsidRDefault="009066F3">
      <w:r>
        <w:rPr>
          <w:noProof/>
        </w:rPr>
        <w:drawing>
          <wp:inline distT="0" distB="0" distL="0" distR="0" wp14:anchorId="286900E6" wp14:editId="5F544015">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5486400"/>
                    </a:xfrm>
                    <a:prstGeom prst="rect">
                      <a:avLst/>
                    </a:prstGeom>
                  </pic:spPr>
                </pic:pic>
              </a:graphicData>
            </a:graphic>
          </wp:inline>
        </w:drawing>
      </w:r>
    </w:p>
    <w:p w14:paraId="32C1DD1B" w14:textId="77777777" w:rsidR="0062667A" w:rsidRDefault="009066F3">
      <w:pPr>
        <w:pStyle w:val="ListBullet"/>
      </w:pPr>
      <w:r>
        <w:t>Normal</w:t>
      </w:r>
    </w:p>
    <w:p w14:paraId="524C232F" w14:textId="77777777" w:rsidR="0062667A" w:rsidRDefault="009066F3">
      <w:pPr>
        <w:pStyle w:val="ListBullet"/>
      </w:pPr>
      <w:r>
        <w:t>Heading 1</w:t>
      </w:r>
    </w:p>
    <w:p w14:paraId="4DEE9BC3" w14:textId="77777777" w:rsidR="0062667A" w:rsidRDefault="009066F3">
      <w:pPr>
        <w:pStyle w:val="ListBullet"/>
      </w:pPr>
      <w:r>
        <w:t>Heading 2</w:t>
      </w:r>
    </w:p>
    <w:p w14:paraId="55DA71F0" w14:textId="77777777" w:rsidR="0062667A" w:rsidRDefault="009066F3">
      <w:pPr>
        <w:pStyle w:val="ListBullet"/>
      </w:pPr>
      <w:r>
        <w:t>Heading 3</w:t>
      </w:r>
    </w:p>
    <w:p w14:paraId="3851E5D2" w14:textId="77777777" w:rsidR="0062667A" w:rsidRDefault="009066F3">
      <w:pPr>
        <w:pStyle w:val="ListBullet"/>
      </w:pPr>
      <w:r>
        <w:t>Heading 4</w:t>
      </w:r>
    </w:p>
    <w:p w14:paraId="38EA76C4" w14:textId="77777777" w:rsidR="0062667A" w:rsidRDefault="009066F3">
      <w:pPr>
        <w:pStyle w:val="ListBullet"/>
      </w:pPr>
      <w:r>
        <w:t>Heading 5</w:t>
      </w:r>
    </w:p>
    <w:p w14:paraId="15DB1000" w14:textId="77777777" w:rsidR="0062667A" w:rsidRDefault="009066F3">
      <w:pPr>
        <w:pStyle w:val="ListBullet"/>
      </w:pPr>
      <w:r>
        <w:t>Heading 6</w:t>
      </w:r>
    </w:p>
    <w:p w14:paraId="10019ED4" w14:textId="77777777" w:rsidR="0062667A" w:rsidRDefault="009066F3">
      <w:pPr>
        <w:pStyle w:val="ListBullet"/>
      </w:pPr>
      <w:r>
        <w:t>Code Block</w:t>
      </w:r>
    </w:p>
    <w:p w14:paraId="2936E1CA" w14:textId="77777777" w:rsidR="0062667A" w:rsidRDefault="009066F3">
      <w:pPr>
        <w:pStyle w:val="ListBullet"/>
      </w:pPr>
      <w:r>
        <w:t>Default</w:t>
      </w:r>
    </w:p>
    <w:p w14:paraId="3980D3C1" w14:textId="77777777" w:rsidR="0062667A" w:rsidRDefault="009066F3">
      <w:pPr>
        <w:pStyle w:val="ListBullet"/>
      </w:pPr>
      <w:r>
        <w:t>Arial</w:t>
      </w:r>
    </w:p>
    <w:p w14:paraId="1E4876FF" w14:textId="77777777" w:rsidR="0062667A" w:rsidRDefault="009066F3">
      <w:pPr>
        <w:pStyle w:val="ListBullet"/>
      </w:pPr>
      <w:r>
        <w:t>Georgia</w:t>
      </w:r>
    </w:p>
    <w:p w14:paraId="5D09CCFB" w14:textId="77777777" w:rsidR="0062667A" w:rsidRDefault="009066F3">
      <w:pPr>
        <w:pStyle w:val="ListBullet"/>
      </w:pPr>
      <w:r>
        <w:t>Impact</w:t>
      </w:r>
    </w:p>
    <w:p w14:paraId="5C09A9CD" w14:textId="77777777" w:rsidR="0062667A" w:rsidRDefault="009066F3">
      <w:pPr>
        <w:pStyle w:val="ListBullet"/>
      </w:pPr>
      <w:r>
        <w:t>Tahoma</w:t>
      </w:r>
    </w:p>
    <w:p w14:paraId="79C3F789" w14:textId="77777777" w:rsidR="0062667A" w:rsidRDefault="009066F3">
      <w:pPr>
        <w:pStyle w:val="ListBullet"/>
      </w:pPr>
      <w:r>
        <w:lastRenderedPageBreak/>
        <w:t>Times New Roman</w:t>
      </w:r>
    </w:p>
    <w:p w14:paraId="6DFC2958" w14:textId="77777777" w:rsidR="0062667A" w:rsidRDefault="009066F3">
      <w:pPr>
        <w:pStyle w:val="ListBullet"/>
      </w:pPr>
      <w:r>
        <w:t>Verdana</w:t>
      </w:r>
    </w:p>
    <w:p w14:paraId="7DCB086E" w14:textId="77777777" w:rsidR="0062667A" w:rsidRDefault="009066F3">
      <w:pPr>
        <w:pStyle w:val="ListBullet"/>
      </w:pPr>
      <w:r>
        <w:t>arial</w:t>
      </w:r>
    </w:p>
    <w:p w14:paraId="710F60B7" w14:textId="77777777" w:rsidR="0062667A" w:rsidRDefault="009066F3">
      <w:pPr>
        <w:pStyle w:val="ListBullet"/>
      </w:pPr>
      <w:r>
        <w:t>Default</w:t>
      </w:r>
    </w:p>
    <w:p w14:paraId="75FE36F3" w14:textId="77777777" w:rsidR="0062667A" w:rsidRDefault="009066F3">
      <w:pPr>
        <w:pStyle w:val="ListBullet"/>
      </w:pPr>
      <w:r>
        <w:t>8</w:t>
      </w:r>
    </w:p>
    <w:p w14:paraId="348F0CD4" w14:textId="77777777" w:rsidR="0062667A" w:rsidRDefault="009066F3">
      <w:pPr>
        <w:pStyle w:val="ListBullet"/>
      </w:pPr>
      <w:r>
        <w:t>9</w:t>
      </w:r>
    </w:p>
    <w:p w14:paraId="6EEBE0ED" w14:textId="77777777" w:rsidR="0062667A" w:rsidRDefault="009066F3">
      <w:pPr>
        <w:pStyle w:val="ListBullet"/>
      </w:pPr>
      <w:r>
        <w:t>10</w:t>
      </w:r>
    </w:p>
    <w:p w14:paraId="6A20E1FA" w14:textId="77777777" w:rsidR="0062667A" w:rsidRDefault="009066F3">
      <w:pPr>
        <w:pStyle w:val="ListBullet"/>
      </w:pPr>
      <w:r>
        <w:t>11</w:t>
      </w:r>
    </w:p>
    <w:p w14:paraId="0A8A13A8" w14:textId="77777777" w:rsidR="0062667A" w:rsidRDefault="009066F3">
      <w:pPr>
        <w:pStyle w:val="ListBullet"/>
      </w:pPr>
      <w:r>
        <w:t>12</w:t>
      </w:r>
    </w:p>
    <w:p w14:paraId="6E20D3B8" w14:textId="77777777" w:rsidR="0062667A" w:rsidRDefault="009066F3">
      <w:pPr>
        <w:pStyle w:val="ListBullet"/>
      </w:pPr>
      <w:r>
        <w:t>14</w:t>
      </w:r>
    </w:p>
    <w:p w14:paraId="7C6722D1" w14:textId="77777777" w:rsidR="0062667A" w:rsidRDefault="009066F3">
      <w:pPr>
        <w:pStyle w:val="ListBullet"/>
      </w:pPr>
      <w:r>
        <w:t>16</w:t>
      </w:r>
    </w:p>
    <w:p w14:paraId="1BAF9833" w14:textId="77777777" w:rsidR="0062667A" w:rsidRDefault="009066F3">
      <w:pPr>
        <w:pStyle w:val="ListBullet"/>
      </w:pPr>
      <w:r>
        <w:t>18</w:t>
      </w:r>
    </w:p>
    <w:p w14:paraId="3A6EA223" w14:textId="77777777" w:rsidR="0062667A" w:rsidRDefault="009066F3">
      <w:pPr>
        <w:pStyle w:val="ListBullet"/>
      </w:pPr>
      <w:r>
        <w:t>24</w:t>
      </w:r>
    </w:p>
    <w:p w14:paraId="414EE8BD" w14:textId="77777777" w:rsidR="0062667A" w:rsidRDefault="009066F3">
      <w:pPr>
        <w:pStyle w:val="ListBullet"/>
      </w:pPr>
      <w:r>
        <w:t>30</w:t>
      </w:r>
    </w:p>
    <w:p w14:paraId="0B437434" w14:textId="77777777" w:rsidR="0062667A" w:rsidRDefault="009066F3">
      <w:pPr>
        <w:pStyle w:val="ListBullet"/>
      </w:pPr>
      <w:r>
        <w:t>36</w:t>
      </w:r>
    </w:p>
    <w:p w14:paraId="35CDA4B1" w14:textId="77777777" w:rsidR="0062667A" w:rsidRDefault="009066F3">
      <w:pPr>
        <w:pStyle w:val="ListBullet"/>
      </w:pPr>
      <w:r>
        <w:t>48</w:t>
      </w:r>
    </w:p>
    <w:p w14:paraId="2D33DDD0" w14:textId="77777777" w:rsidR="0062667A" w:rsidRDefault="009066F3">
      <w:pPr>
        <w:pStyle w:val="ListBullet"/>
      </w:pPr>
      <w:r>
        <w:t>60</w:t>
      </w:r>
    </w:p>
    <w:p w14:paraId="39D1414A" w14:textId="77777777" w:rsidR="0062667A" w:rsidRDefault="009066F3">
      <w:pPr>
        <w:pStyle w:val="ListBullet"/>
      </w:pPr>
      <w:r>
        <w:t>72</w:t>
      </w:r>
    </w:p>
    <w:p w14:paraId="2BC28DB9" w14:textId="77777777" w:rsidR="0062667A" w:rsidRDefault="009066F3">
      <w:pPr>
        <w:pStyle w:val="ListBullet"/>
      </w:pPr>
      <w:r>
        <w:t>96</w:t>
      </w:r>
    </w:p>
    <w:p w14:paraId="61C3C3E1" w14:textId="77777777" w:rsidR="0062667A" w:rsidRDefault="009066F3">
      <w:pPr>
        <w:pStyle w:val="ListBullet"/>
      </w:pPr>
      <w:r>
        <w:t>Default</w:t>
      </w:r>
    </w:p>
    <w:p w14:paraId="2E3E6821" w14:textId="77777777" w:rsidR="0062667A" w:rsidRDefault="009066F3">
      <w:pPr>
        <w:pStyle w:val="ListBullet"/>
      </w:pPr>
      <w:r>
        <w:t>Lower Alpha</w:t>
      </w:r>
    </w:p>
    <w:p w14:paraId="2B2D8837" w14:textId="77777777" w:rsidR="0062667A" w:rsidRDefault="009066F3">
      <w:pPr>
        <w:pStyle w:val="ListBullet"/>
      </w:pPr>
      <w:r>
        <w:t>Lower Greek</w:t>
      </w:r>
    </w:p>
    <w:p w14:paraId="0CCF71BD" w14:textId="77777777" w:rsidR="0062667A" w:rsidRDefault="009066F3">
      <w:pPr>
        <w:pStyle w:val="ListBullet"/>
      </w:pPr>
      <w:r>
        <w:t>Lower Roman</w:t>
      </w:r>
    </w:p>
    <w:p w14:paraId="0D4B0547" w14:textId="77777777" w:rsidR="0062667A" w:rsidRDefault="009066F3">
      <w:pPr>
        <w:pStyle w:val="ListBullet"/>
      </w:pPr>
      <w:r>
        <w:t>Upper Alpha</w:t>
      </w:r>
    </w:p>
    <w:p w14:paraId="12162F51" w14:textId="77777777" w:rsidR="0062667A" w:rsidRDefault="009066F3">
      <w:pPr>
        <w:pStyle w:val="ListBullet"/>
      </w:pPr>
      <w:r>
        <w:t>Upper Roman</w:t>
      </w:r>
    </w:p>
    <w:p w14:paraId="7821E494" w14:textId="77777777" w:rsidR="0062667A" w:rsidRDefault="009066F3">
      <w:pPr>
        <w:pStyle w:val="ListBullet"/>
      </w:pPr>
      <w:r>
        <w:t>Default</w:t>
      </w:r>
    </w:p>
    <w:p w14:paraId="474AFDC6" w14:textId="77777777" w:rsidR="0062667A" w:rsidRDefault="009066F3">
      <w:pPr>
        <w:pStyle w:val="ListBullet"/>
      </w:pPr>
      <w:r>
        <w:t>Circle</w:t>
      </w:r>
    </w:p>
    <w:p w14:paraId="22F66016" w14:textId="77777777" w:rsidR="0062667A" w:rsidRDefault="009066F3">
      <w:pPr>
        <w:pStyle w:val="ListBullet"/>
      </w:pPr>
      <w:r>
        <w:t>Disc</w:t>
      </w:r>
    </w:p>
    <w:p w14:paraId="60D0E696" w14:textId="77777777" w:rsidR="0062667A" w:rsidRDefault="009066F3">
      <w:pPr>
        <w:pStyle w:val="ListBullet"/>
      </w:pPr>
      <w:r>
        <w:t>Square</w:t>
      </w:r>
    </w:p>
    <w:p w14:paraId="492AE3FB" w14:textId="77777777" w:rsidR="0062667A" w:rsidRDefault="009066F3">
      <w:pPr>
        <w:pStyle w:val="ListBullet"/>
      </w:pPr>
      <w:r>
        <w:t>Default</w:t>
      </w:r>
    </w:p>
    <w:p w14:paraId="0D78E5B6" w14:textId="77777777" w:rsidR="0062667A" w:rsidRDefault="009066F3">
      <w:pPr>
        <w:pStyle w:val="ListBullet"/>
      </w:pPr>
      <w:r>
        <w:t>Single</w:t>
      </w:r>
    </w:p>
    <w:p w14:paraId="72111C34" w14:textId="77777777" w:rsidR="0062667A" w:rsidRDefault="009066F3">
      <w:pPr>
        <w:pStyle w:val="ListBullet"/>
      </w:pPr>
      <w:r>
        <w:t>1.15</w:t>
      </w:r>
    </w:p>
    <w:p w14:paraId="1573F3B9" w14:textId="77777777" w:rsidR="0062667A" w:rsidRDefault="009066F3">
      <w:pPr>
        <w:pStyle w:val="ListBullet"/>
      </w:pPr>
      <w:r>
        <w:t>1.5</w:t>
      </w:r>
    </w:p>
    <w:p w14:paraId="1C59CB5D" w14:textId="77777777" w:rsidR="0062667A" w:rsidRDefault="009066F3">
      <w:pPr>
        <w:pStyle w:val="ListBullet"/>
      </w:pPr>
      <w:r>
        <w:t>Increase</w:t>
      </w:r>
    </w:p>
    <w:p w14:paraId="3BDB6961" w14:textId="77777777" w:rsidR="0062667A" w:rsidRDefault="009066F3">
      <w:pPr>
        <w:pStyle w:val="ListBullet"/>
      </w:pPr>
      <w:r>
        <w:t>Decrease</w:t>
      </w:r>
    </w:p>
    <w:p w14:paraId="6B6689B9" w14:textId="77777777" w:rsidR="0062667A" w:rsidRDefault="009066F3">
      <w:pPr>
        <w:pStyle w:val="Heading1"/>
      </w:pPr>
      <w:r>
        <w:t>3-6357-254-00_01. Introduction to Reports and Dashboards Exercises</w:t>
      </w:r>
    </w:p>
    <w:p w14:paraId="57BE7617" w14:textId="77777777" w:rsidR="0062667A" w:rsidRDefault="009066F3">
      <w:pPr>
        <w:pStyle w:val="Heading2"/>
      </w:pPr>
      <w:r>
        <w:t>Exercise 1 – Connecting to the student environment</w:t>
      </w:r>
    </w:p>
    <w:p w14:paraId="40C5422C" w14:textId="77777777" w:rsidR="0062667A" w:rsidRDefault="009066F3">
      <w:r>
        <w:t>In this exercise, you will access the classroom lab environment.</w:t>
      </w:r>
    </w:p>
    <w:p w14:paraId="6A886873" w14:textId="77777777" w:rsidR="0062667A" w:rsidRDefault="009066F3">
      <w:r>
        <w:lastRenderedPageBreak/>
        <w:t>In this environment, each student has a dedicated set of servers. Complete the following steps to connect to your student Access Virtual Machine (AVM).</w:t>
      </w:r>
    </w:p>
    <w:p w14:paraId="0E1BF526" w14:textId="77777777" w:rsidR="0062667A" w:rsidRDefault="009066F3">
      <w:r>
        <w:t>To achieve the best possible lab access performance, terminate any active VPN connections before accessing the lab environment. Check if your company imposes any firewall restrictions on accessing the lab environment. This is generally not a concern unless you are unable to connect to the lab environment.</w:t>
      </w:r>
    </w:p>
    <w:p w14:paraId="61985F76" w14:textId="77777777" w:rsidR="0062667A" w:rsidRDefault="009066F3">
      <w:r>
        <w:t>To access the lab environment, perform the following steps:</w:t>
      </w:r>
    </w:p>
    <w:p w14:paraId="2D931599" w14:textId="77777777" w:rsidR="0062667A" w:rsidRDefault="009066F3">
      <w:pPr>
        <w:pStyle w:val="ListNumber"/>
      </w:pPr>
      <w:r>
        <w:t>Launch a web browser on your computer (Chromium family browsers are recommended).</w:t>
      </w:r>
    </w:p>
    <w:p w14:paraId="7EB05F5A" w14:textId="77777777" w:rsidR="0062667A" w:rsidRDefault="009066F3">
      <w:pPr>
        <w:pStyle w:val="ListNumber"/>
      </w:pPr>
      <w:r>
        <w:t>Before you enter the provided URL, maximize the browser window. This ensures the best resolution your monitor has to offer.After the link has been launched, window maximization will not improve resolution. To fix the resolution, close the browser tab and repeat the steps.</w:t>
      </w:r>
    </w:p>
    <w:p w14:paraId="4F46F88E" w14:textId="77777777" w:rsidR="0062667A" w:rsidRDefault="009066F3">
      <w:pPr>
        <w:pStyle w:val="ListNumber"/>
      </w:pPr>
      <w:r>
        <w:t>With the browser window maximized, open the link provided to you by OpenText educational services.</w:t>
      </w:r>
    </w:p>
    <w:p w14:paraId="70BA38F9" w14:textId="77777777" w:rsidR="0062667A" w:rsidRDefault="009066F3">
      <w:pPr>
        <w:pStyle w:val="ListNumber"/>
      </w:pPr>
      <w:r>
        <w:t>Click the blue Click to Connect button.This action opens a new tab with an RDP connection to your environment.In case it did not work, disable the popup protection for this website and try again.</w:t>
      </w:r>
    </w:p>
    <w:p w14:paraId="33289D0C" w14:textId="77777777" w:rsidR="0062667A" w:rsidRDefault="009066F3">
      <w:pPr>
        <w:pStyle w:val="ListNumber"/>
      </w:pPr>
      <w:r>
        <w:t>Approve the use of clipboard.</w:t>
      </w:r>
    </w:p>
    <w:p w14:paraId="381DA11D" w14:textId="77777777" w:rsidR="0062667A" w:rsidRDefault="009066F3">
      <w:pPr>
        <w:pStyle w:val="Heading2"/>
      </w:pPr>
      <w:r>
        <w:t>Exercise 2 - Powering on Lab VMs</w:t>
      </w:r>
    </w:p>
    <w:p w14:paraId="63BAA183" w14:textId="77777777" w:rsidR="0062667A" w:rsidRDefault="009066F3">
      <w:r>
        <w:t>When you connect to the Lab you will enter the AVM (AccessVM) and it serves as you</w:t>
      </w:r>
      <w:r>
        <w:rPr>
          <w:b/>
          <w:color w:val="FF0000"/>
        </w:rPr>
        <w:t>r</w:t>
      </w:r>
      <w:r>
        <w:t xml:space="preserve"> workspace and the same VM is running all the lab machines in a Hyper-V.</w:t>
      </w:r>
      <w:r>
        <w:rPr>
          <w:b/>
          <w:color w:val="FF0000"/>
        </w:rPr>
        <w:t xml:space="preserve"> </w:t>
      </w:r>
      <w:r>
        <w:t>The machines are configured to return to the same state as they were before the automatic power down at the end of each learning day.</w:t>
      </w:r>
      <w:r>
        <w:rPr>
          <w:i/>
          <w:color w:val="0000FF"/>
        </w:rPr>
        <w:t xml:space="preserve"> [No changes needed.]</w:t>
      </w:r>
    </w:p>
    <w:p w14:paraId="09D2FF7A" w14:textId="77777777" w:rsidR="0062667A" w:rsidRDefault="009066F3">
      <w:pPr>
        <w:pStyle w:val="ListNumber"/>
      </w:pPr>
      <w:r>
        <w:t>Wait for Hyper-V console to start when you login for the first time of the day. In case it is not showing up, start it from the start menu.</w:t>
      </w:r>
    </w:p>
    <w:p w14:paraId="7E9F9979" w14:textId="77777777" w:rsidR="0062667A" w:rsidRDefault="009066F3">
      <w:pPr>
        <w:pStyle w:val="ListNumber"/>
      </w:pPr>
      <w:r>
        <w:t>Ensure that the following servers are powered up.</w:t>
      </w:r>
    </w:p>
    <w:p w14:paraId="4BCFB2F7" w14:textId="77777777" w:rsidR="0062667A" w:rsidRDefault="009066F3">
      <w:pPr>
        <w:pStyle w:val="ListNumber"/>
      </w:pPr>
      <w:r>
        <w:t>Start the ones that are now in running state:</w:t>
      </w:r>
      <w:r>
        <w:rPr>
          <w:b/>
          <w:color w:val="FF0000"/>
        </w:rPr>
        <w:t xml:space="preserve"> </w:t>
      </w:r>
      <w:r>
        <w:t>Select the servers that need to be powered up. You can multi-select by pressing the Ctrl key</w:t>
      </w:r>
      <w:r>
        <w:rPr>
          <w:b/>
          <w:color w:val="FF0000"/>
        </w:rPr>
        <w:t xml:space="preserve">. </w:t>
      </w:r>
      <w:r>
        <w:t>Click Start from the right pane or from a right</w:t>
      </w:r>
      <w:r>
        <w:rPr>
          <w:b/>
          <w:color w:val="FF0000"/>
        </w:rPr>
        <w:t>-</w:t>
      </w:r>
      <w:r>
        <w:t>click menu.</w:t>
      </w:r>
      <w:r>
        <w:rPr>
          <w:b/>
          <w:color w:val="FF0000"/>
        </w:rPr>
        <w:t xml:space="preserve"> </w:t>
      </w:r>
      <w:r>
        <w:t>Wait for machines to start. The hosted SW will be available within 15 minutes</w:t>
      </w:r>
      <w:r>
        <w:rPr>
          <w:i/>
          <w:color w:val="0000FF"/>
        </w:rPr>
        <w:t xml:space="preserve"> [No changes needed.]</w:t>
      </w:r>
    </w:p>
    <w:p w14:paraId="7A1178E1" w14:textId="77777777" w:rsidR="0062667A" w:rsidRDefault="009066F3">
      <w:pPr>
        <w:pStyle w:val="Heading2"/>
      </w:pPr>
      <w:r>
        <w:t>Exercise 3 – Accessing the OBM</w:t>
      </w:r>
    </w:p>
    <w:p w14:paraId="0B575710" w14:textId="77777777" w:rsidR="0062667A" w:rsidRDefault="009066F3">
      <w:r>
        <w:t>To access OBM, perform the following steps:</w:t>
      </w:r>
    </w:p>
    <w:p w14:paraId="30B3B616" w14:textId="77777777" w:rsidR="0062667A" w:rsidRDefault="009066F3">
      <w:pPr>
        <w:pStyle w:val="ListNumber"/>
      </w:pPr>
      <w:r>
        <w:t>On your student AVM, open Google Chrome, or Firefox web browser and enter the following URL:https://opsb-obm.itomlabs.com/omi/Note: When accessing the browser-based user interface (UI) of OBM, APM, or SiteScope, always use the appropriate browser on the AVM. Do not attempt to use a browser on any other VM to access these applications.</w:t>
      </w:r>
    </w:p>
    <w:p w14:paraId="795D4973" w14:textId="77777777" w:rsidR="0062667A" w:rsidRDefault="009066F3">
      <w:pPr>
        <w:pStyle w:val="ListNumber"/>
      </w:pPr>
      <w:r>
        <w:lastRenderedPageBreak/>
        <w:t>In case OBM is not accessible, restart</w:t>
      </w:r>
      <w:r>
        <w:rPr>
          <w:b/>
          <w:color w:val="FF0000"/>
        </w:rPr>
        <w:t xml:space="preserve"> </w:t>
      </w:r>
      <w:r>
        <w:t>it using this procedure</w:t>
      </w:r>
      <w:r>
        <w:rPr>
          <w:i/>
          <w:color w:val="0000FF"/>
        </w:rPr>
        <w:t xml:space="preserve"> [Preserved abbreviations and technical terms, no changes to meaning.]</w:t>
      </w:r>
      <w:r>
        <w:t>Connect to OBM with SSHRun this block of commands</w:t>
      </w:r>
      <w:r>
        <w:rPr>
          <w:b/>
          <w:color w:val="FF0000"/>
        </w:rPr>
        <w:t xml:space="preserve">: </w:t>
      </w:r>
      <w:r>
        <w:t>/opt/HP/BSM/scripts/run_hpbsm stopsleep 120/opt/HP/BSM/scripts/run_hpbsm start</w:t>
      </w:r>
      <w:r>
        <w:rPr>
          <w:i/>
          <w:color w:val="0000FF"/>
        </w:rPr>
        <w:t xml:space="preserve"> [Preserved abbreviations and technical terms, no changes to meaning.]</w:t>
      </w:r>
      <w:r>
        <w:t xml:space="preserve">Execute this command to monitor the OBM startup process. You can skip to </w:t>
      </w:r>
      <w:r>
        <w:rPr>
          <w:b/>
          <w:color w:val="FF0000"/>
        </w:rPr>
        <w:t xml:space="preserve">the </w:t>
      </w:r>
      <w:r>
        <w:t>next exercise and return after 15 minutes</w:t>
      </w:r>
      <w:r>
        <w:rPr>
          <w:b/>
          <w:color w:val="FF0000"/>
        </w:rPr>
        <w:t>. W</w:t>
      </w:r>
      <w:r>
        <w:t>atch -n 20 /opt/HP/BSM/opr/support/opr-status.py</w:t>
      </w:r>
      <w:r>
        <w:rPr>
          <w:i/>
          <w:color w:val="0000FF"/>
        </w:rPr>
        <w:t xml:space="preserve"> [Preserved abbreviations and technical terms, no </w:t>
      </w:r>
      <w:r>
        <w:rPr>
          <w:i/>
          <w:color w:val="0000FF"/>
        </w:rPr>
        <w:t>changes to meaning.]</w:t>
      </w:r>
      <w:r>
        <w:t>Try to open</w:t>
      </w:r>
      <w:r>
        <w:rPr>
          <w:b/>
          <w:color w:val="FF0000"/>
        </w:rPr>
        <w:t xml:space="preserve"> the</w:t>
      </w:r>
      <w:r>
        <w:t xml:space="preserve"> OBM UI in the browser when you see this status:</w:t>
      </w:r>
      <w:r>
        <w:rPr>
          <w:i/>
          <w:color w:val="0000FF"/>
        </w:rPr>
        <w:t xml:space="preserve"> [Preserved abbreviations and technical terms, no changes to meaning.]</w:t>
      </w:r>
    </w:p>
    <w:p w14:paraId="0AD7AA5B" w14:textId="77777777" w:rsidR="0062667A" w:rsidRDefault="009066F3">
      <w:pPr>
        <w:pStyle w:val="ListNumber"/>
      </w:pPr>
      <w:r>
        <w:t>Log in to OBM using the following credentials:</w:t>
      </w:r>
      <w:r>
        <w:rPr>
          <w:b/>
          <w:color w:val="FF0000"/>
        </w:rPr>
        <w:t xml:space="preserve"> </w:t>
      </w:r>
      <w:r>
        <w:t>Login: adminPassword: AppP4ss_Secur3</w:t>
      </w:r>
      <w:r>
        <w:rPr>
          <w:i/>
          <w:color w:val="0000FF"/>
        </w:rPr>
        <w:t xml:space="preserve"> [Preserved abbreviations and technical terms, no changes to meaning.]</w:t>
      </w:r>
    </w:p>
    <w:p w14:paraId="0EAF15FD" w14:textId="77777777" w:rsidR="0062667A" w:rsidRDefault="009066F3">
      <w:pPr>
        <w:pStyle w:val="ListNumber"/>
      </w:pPr>
      <w:r>
        <w:t>Select Workspaces &gt; My Workspace.</w:t>
      </w:r>
    </w:p>
    <w:p w14:paraId="6DEB55D6" w14:textId="77777777" w:rsidR="0062667A" w:rsidRDefault="009066F3">
      <w:pPr>
        <w:pStyle w:val="ListNumber"/>
      </w:pPr>
      <w:r>
        <w:t>From the Select Page dropdown list, select Event Perspective.</w:t>
      </w:r>
      <w:r>
        <w:rPr>
          <w:b/>
          <w:color w:val="FF0000"/>
        </w:rPr>
        <w:t xml:space="preserve"> </w:t>
      </w:r>
      <w:r>
        <w:t>Ensure that the Event Browser is visible and contains several events.</w:t>
      </w:r>
      <w:r>
        <w:rPr>
          <w:i/>
          <w:color w:val="0000FF"/>
        </w:rPr>
        <w:t xml:space="preserve"> [Preserved abbreviations and technical terms, no changes to meaning.]</w:t>
      </w:r>
    </w:p>
    <w:p w14:paraId="7848E528" w14:textId="77777777" w:rsidR="0062667A" w:rsidRDefault="009066F3">
      <w:pPr>
        <w:pStyle w:val="Heading2"/>
      </w:pPr>
      <w:r>
        <w:t>Exercise 4 – Accessing the Stakeholder Dashboard</w:t>
      </w:r>
    </w:p>
    <w:p w14:paraId="1F8C1776" w14:textId="77777777" w:rsidR="0062667A" w:rsidRDefault="009066F3">
      <w:r>
        <w:t>To access</w:t>
      </w:r>
      <w:r>
        <w:rPr>
          <w:b/>
          <w:color w:val="FF0000"/>
        </w:rPr>
        <w:t xml:space="preserve"> the</w:t>
      </w:r>
      <w:r>
        <w:t xml:space="preserve"> Stakeholder Dashboard (previously known as BVD) using a browser, perform the following steps:</w:t>
      </w:r>
      <w:r>
        <w:rPr>
          <w:i/>
          <w:color w:val="0000FF"/>
        </w:rPr>
        <w:t xml:space="preserve"> [Preserved abbreviations and technical terms, no changes to meaning.]</w:t>
      </w:r>
    </w:p>
    <w:p w14:paraId="5C6CBAF2" w14:textId="77777777" w:rsidR="0062667A" w:rsidRDefault="009066F3">
      <w:pPr>
        <w:pStyle w:val="ListNumber"/>
      </w:pPr>
      <w:r>
        <w:t>On the student AVM, open the Google Chrome web browser and enter the following URL for the Stakeholder Dashboard: https://opsb-master.itomlabs.com/bvd/</w:t>
      </w:r>
    </w:p>
    <w:p w14:paraId="524CAEC7" w14:textId="77777777" w:rsidR="0062667A" w:rsidRDefault="009066F3">
      <w:pPr>
        <w:pStyle w:val="ListNumber"/>
      </w:pPr>
      <w:r>
        <w:t>If the URL is not available 20 minutes after the Lab server was started, contact support.</w:t>
      </w:r>
    </w:p>
    <w:p w14:paraId="62D9F277" w14:textId="77777777" w:rsidR="0062667A" w:rsidRDefault="009066F3">
      <w:pPr>
        <w:pStyle w:val="ListNumber"/>
      </w:pPr>
      <w:r>
        <w:t>When prompted, use the following credentials:</w:t>
      </w:r>
      <w:r>
        <w:rPr>
          <w:b/>
          <w:color w:val="FF0000"/>
        </w:rPr>
        <w:t xml:space="preserve"> </w:t>
      </w:r>
      <w:r>
        <w:t>Username: adminPassword: AppP4ss_Secur3</w:t>
      </w:r>
      <w:r>
        <w:rPr>
          <w:b/>
          <w:color w:val="FF0000"/>
        </w:rPr>
        <w:t xml:space="preserve">. </w:t>
      </w:r>
      <w:r>
        <w:t>Validate that dashboards are displayed, for example, System Executive Summary.</w:t>
      </w:r>
      <w:r>
        <w:rPr>
          <w:i/>
          <w:color w:val="0000FF"/>
        </w:rPr>
        <w:t xml:space="preserve"> [Preserved abbreviations and technical terms, no changes to meaning.]</w:t>
      </w:r>
    </w:p>
    <w:p w14:paraId="5E37A7D4" w14:textId="77777777" w:rsidR="0062667A" w:rsidRDefault="009066F3">
      <w:r>
        <w:rPr>
          <w:noProof/>
        </w:rPr>
        <w:lastRenderedPageBreak/>
        <w:drawing>
          <wp:inline distT="0" distB="0" distL="0" distR="0" wp14:anchorId="3E2B5F3D" wp14:editId="20F1796F">
            <wp:extent cx="5486400" cy="8201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8201551"/>
                    </a:xfrm>
                    <a:prstGeom prst="rect">
                      <a:avLst/>
                    </a:prstGeom>
                  </pic:spPr>
                </pic:pic>
              </a:graphicData>
            </a:graphic>
          </wp:inline>
        </w:drawing>
      </w:r>
    </w:p>
    <w:p w14:paraId="182E5FBD" w14:textId="77777777" w:rsidR="0062667A" w:rsidRDefault="009066F3">
      <w:pPr>
        <w:pStyle w:val="Heading5"/>
      </w:pPr>
      <w:r>
        <w:lastRenderedPageBreak/>
        <w:t>Oh no!</w:t>
      </w:r>
    </w:p>
    <w:p w14:paraId="461B8278" w14:textId="77777777" w:rsidR="0062667A" w:rsidRDefault="009066F3">
      <w:r>
        <w:t>Please try again later</w:t>
      </w:r>
      <w:r>
        <w:rPr>
          <w:b/>
          <w:color w:val="FF0000"/>
        </w:rPr>
        <w:t>.</w:t>
      </w:r>
      <w:r>
        <w:t xml:space="preserve"> </w:t>
      </w:r>
      <w:r>
        <w:rPr>
          <w:b/>
          <w:color w:val="FF0000"/>
        </w:rPr>
        <w:t>C</w:t>
      </w:r>
      <w:r>
        <w:t>ontact LearnExperts if the problem persists.</w:t>
      </w:r>
      <w:r>
        <w:rPr>
          <w:i/>
          <w:color w:val="0000FF"/>
        </w:rPr>
        <w:t xml:space="preserve"> [Preserves abbreviations, proper nouns, and technical terms. Rephrasing is avoided to maintain the original meaning.]</w:t>
      </w:r>
    </w:p>
    <w:sectPr w:rsidR="006266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229086">
    <w:abstractNumId w:val="8"/>
  </w:num>
  <w:num w:numId="2" w16cid:durableId="1332247728">
    <w:abstractNumId w:val="6"/>
  </w:num>
  <w:num w:numId="3" w16cid:durableId="1085957698">
    <w:abstractNumId w:val="5"/>
  </w:num>
  <w:num w:numId="4" w16cid:durableId="1559897835">
    <w:abstractNumId w:val="4"/>
  </w:num>
  <w:num w:numId="5" w16cid:durableId="644437246">
    <w:abstractNumId w:val="7"/>
  </w:num>
  <w:num w:numId="6" w16cid:durableId="1312832334">
    <w:abstractNumId w:val="3"/>
  </w:num>
  <w:num w:numId="7" w16cid:durableId="1265578611">
    <w:abstractNumId w:val="2"/>
  </w:num>
  <w:num w:numId="8" w16cid:durableId="811288152">
    <w:abstractNumId w:val="1"/>
  </w:num>
  <w:num w:numId="9" w16cid:durableId="132593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67A"/>
    <w:rsid w:val="009066F3"/>
    <w:rsid w:val="00AA1D8D"/>
    <w:rsid w:val="00B47730"/>
    <w:rsid w:val="00B62F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0A76E"/>
  <w14:defaultImageDpi w14:val="300"/>
  <w15:docId w15:val="{67F12BFF-ED4B-4264-BC9C-A1738A74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768</Words>
  <Characters>4189</Characters>
  <Application>Microsoft Office Word</Application>
  <DocSecurity>0</DocSecurity>
  <Lines>119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Aleksey Potapchuk</cp:lastModifiedBy>
  <cp:revision>2</cp:revision>
  <dcterms:created xsi:type="dcterms:W3CDTF">2013-12-23T23:15:00Z</dcterms:created>
  <dcterms:modified xsi:type="dcterms:W3CDTF">2026-03-15T15:32:00Z</dcterms:modified>
  <cp:category/>
</cp:coreProperties>
</file>