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5486400"/>
                    </a:xfrm>
                    <a:prstGeom prst="rect"/>
                  </pic:spPr>
                </pic:pic>
              </a:graphicData>
            </a:graphic>
          </wp:inline>
        </w:drawing>
      </w:r>
    </w:p>
    <w:p>
      <w:pPr>
        <w:pStyle w:val="ListBullet"/>
      </w:pPr>
      <w:r>
        <w:t>Normal</w:t>
      </w:r>
    </w:p>
    <w:p>
      <w:pPr>
        <w:pStyle w:val="ListBullet"/>
      </w:pPr>
      <w:r>
        <w:t>Heading 1</w:t>
      </w:r>
    </w:p>
    <w:p>
      <w:pPr>
        <w:pStyle w:val="ListBullet"/>
      </w:pPr>
      <w:r>
        <w:t>Heading 2</w:t>
      </w:r>
    </w:p>
    <w:p>
      <w:pPr>
        <w:pStyle w:val="ListBullet"/>
      </w:pPr>
      <w:r>
        <w:t>Heading 3</w:t>
      </w:r>
    </w:p>
    <w:p>
      <w:pPr>
        <w:pStyle w:val="ListBullet"/>
      </w:pPr>
      <w:r>
        <w:t>Heading 4</w:t>
      </w:r>
    </w:p>
    <w:p>
      <w:pPr>
        <w:pStyle w:val="ListBullet"/>
      </w:pPr>
      <w:r>
        <w:t>Heading 5</w:t>
      </w:r>
    </w:p>
    <w:p>
      <w:pPr>
        <w:pStyle w:val="ListBullet"/>
      </w:pPr>
      <w:r>
        <w:t>Heading 6</w:t>
      </w:r>
    </w:p>
    <w:p>
      <w:pPr>
        <w:pStyle w:val="ListBullet"/>
      </w:pPr>
      <w:r>
        <w:t>Code Block</w:t>
      </w:r>
    </w:p>
    <w:p>
      <w:pPr>
        <w:pStyle w:val="ListBullet"/>
      </w:pPr>
      <w:r>
        <w:t>Default</w:t>
      </w:r>
    </w:p>
    <w:p>
      <w:pPr>
        <w:pStyle w:val="ListBullet"/>
      </w:pPr>
      <w:r>
        <w:t>Arial</w:t>
      </w:r>
    </w:p>
    <w:p>
      <w:pPr>
        <w:pStyle w:val="ListBullet"/>
      </w:pPr>
      <w:r>
        <w:t>Georgia</w:t>
      </w:r>
    </w:p>
    <w:p>
      <w:pPr>
        <w:pStyle w:val="ListBullet"/>
      </w:pPr>
      <w:r>
        <w:t>Impact</w:t>
      </w:r>
    </w:p>
    <w:p>
      <w:pPr>
        <w:pStyle w:val="ListBullet"/>
      </w:pPr>
      <w:r>
        <w:t>Tahoma</w:t>
      </w:r>
    </w:p>
    <w:p>
      <w:pPr>
        <w:pStyle w:val="ListBullet"/>
      </w:pPr>
      <w:r>
        <w:t>Times New Roman</w:t>
      </w:r>
    </w:p>
    <w:p>
      <w:pPr>
        <w:pStyle w:val="ListBullet"/>
      </w:pPr>
      <w:r>
        <w:t>Verdana</w:t>
      </w:r>
    </w:p>
    <w:p>
      <w:pPr>
        <w:pStyle w:val="ListBullet"/>
      </w:pPr>
      <w:r>
        <w:t>arial</w:t>
      </w:r>
    </w:p>
    <w:p>
      <w:pPr>
        <w:pStyle w:val="ListBullet"/>
      </w:pPr>
      <w:r>
        <w:t>Default</w:t>
      </w:r>
    </w:p>
    <w:p>
      <w:pPr>
        <w:pStyle w:val="ListBullet"/>
      </w:pPr>
      <w:r>
        <w:t>8</w:t>
      </w:r>
    </w:p>
    <w:p>
      <w:pPr>
        <w:pStyle w:val="ListBullet"/>
      </w:pPr>
      <w:r>
        <w:t>9</w:t>
      </w:r>
    </w:p>
    <w:p>
      <w:pPr>
        <w:pStyle w:val="ListBullet"/>
      </w:pPr>
      <w:r>
        <w:t>10</w:t>
      </w:r>
    </w:p>
    <w:p>
      <w:pPr>
        <w:pStyle w:val="ListBullet"/>
      </w:pPr>
      <w:r>
        <w:t>11</w:t>
      </w:r>
    </w:p>
    <w:p>
      <w:pPr>
        <w:pStyle w:val="ListBullet"/>
      </w:pPr>
      <w:r>
        <w:t>12</w:t>
      </w:r>
    </w:p>
    <w:p>
      <w:pPr>
        <w:pStyle w:val="ListBullet"/>
      </w:pPr>
      <w:r>
        <w:t>14</w:t>
      </w:r>
    </w:p>
    <w:p>
      <w:pPr>
        <w:pStyle w:val="ListBullet"/>
      </w:pPr>
      <w:r>
        <w:t>16</w:t>
      </w:r>
    </w:p>
    <w:p>
      <w:pPr>
        <w:pStyle w:val="ListBullet"/>
      </w:pPr>
      <w:r>
        <w:t>18</w:t>
      </w:r>
    </w:p>
    <w:p>
      <w:pPr>
        <w:pStyle w:val="ListBullet"/>
      </w:pPr>
      <w:r>
        <w:t>24</w:t>
      </w:r>
    </w:p>
    <w:p>
      <w:pPr>
        <w:pStyle w:val="ListBullet"/>
      </w:pPr>
      <w:r>
        <w:t>30</w:t>
      </w:r>
    </w:p>
    <w:p>
      <w:pPr>
        <w:pStyle w:val="ListBullet"/>
      </w:pPr>
      <w:r>
        <w:t>36</w:t>
      </w:r>
    </w:p>
    <w:p>
      <w:pPr>
        <w:pStyle w:val="ListBullet"/>
      </w:pPr>
      <w:r>
        <w:t>48</w:t>
      </w:r>
    </w:p>
    <w:p>
      <w:pPr>
        <w:pStyle w:val="ListBullet"/>
      </w:pPr>
      <w:r>
        <w:t>60</w:t>
      </w:r>
    </w:p>
    <w:p>
      <w:pPr>
        <w:pStyle w:val="ListBullet"/>
      </w:pPr>
      <w:r>
        <w:t>72</w:t>
      </w:r>
    </w:p>
    <w:p>
      <w:pPr>
        <w:pStyle w:val="ListBullet"/>
      </w:pPr>
      <w:r>
        <w:t>96</w:t>
      </w:r>
    </w:p>
    <w:p>
      <w:pPr>
        <w:pStyle w:val="ListBullet"/>
      </w:pPr>
      <w:r>
        <w:t>Default</w:t>
      </w:r>
    </w:p>
    <w:p>
      <w:pPr>
        <w:pStyle w:val="ListBullet"/>
      </w:pPr>
      <w:r>
        <w:t>Lower Alpha</w:t>
      </w:r>
    </w:p>
    <w:p>
      <w:pPr>
        <w:pStyle w:val="ListBullet"/>
      </w:pPr>
      <w:r>
        <w:t>Lower Greek</w:t>
      </w:r>
    </w:p>
    <w:p>
      <w:pPr>
        <w:pStyle w:val="ListBullet"/>
      </w:pPr>
      <w:r>
        <w:t>Lower Roman</w:t>
      </w:r>
    </w:p>
    <w:p>
      <w:pPr>
        <w:pStyle w:val="ListBullet"/>
      </w:pPr>
      <w:r>
        <w:t>Upper Alpha</w:t>
      </w:r>
    </w:p>
    <w:p>
      <w:pPr>
        <w:pStyle w:val="ListBullet"/>
      </w:pPr>
      <w:r>
        <w:t>Upper Roman</w:t>
      </w:r>
    </w:p>
    <w:p>
      <w:pPr>
        <w:pStyle w:val="ListBullet"/>
      </w:pPr>
      <w:r>
        <w:t>Default</w:t>
      </w:r>
    </w:p>
    <w:p>
      <w:pPr>
        <w:pStyle w:val="ListBullet"/>
      </w:pPr>
      <w:r>
        <w:t>Circle</w:t>
      </w:r>
    </w:p>
    <w:p>
      <w:pPr>
        <w:pStyle w:val="ListBullet"/>
      </w:pPr>
      <w:r>
        <w:t>Disc</w:t>
      </w:r>
    </w:p>
    <w:p>
      <w:pPr>
        <w:pStyle w:val="ListBullet"/>
      </w:pPr>
      <w:r>
        <w:t>Square</w:t>
      </w:r>
    </w:p>
    <w:p>
      <w:pPr>
        <w:pStyle w:val="ListBullet"/>
      </w:pPr>
      <w:r>
        <w:t>Default</w:t>
      </w:r>
    </w:p>
    <w:p>
      <w:pPr>
        <w:pStyle w:val="ListBullet"/>
      </w:pPr>
      <w:r>
        <w:t>Single</w:t>
      </w:r>
    </w:p>
    <w:p>
      <w:pPr>
        <w:pStyle w:val="ListBullet"/>
      </w:pPr>
      <w:r>
        <w:t>1.15</w:t>
      </w:r>
    </w:p>
    <w:p>
      <w:pPr>
        <w:pStyle w:val="ListBullet"/>
      </w:pPr>
      <w:r>
        <w:t>1.5</w:t>
      </w:r>
    </w:p>
    <w:p>
      <w:pPr>
        <w:pStyle w:val="ListBullet"/>
      </w:pPr>
      <w:r>
        <w:t>Increase</w:t>
      </w:r>
    </w:p>
    <w:p>
      <w:pPr>
        <w:pStyle w:val="ListBullet"/>
      </w:pPr>
      <w:r>
        <w:t>Decrease</w:t>
      </w:r>
    </w:p>
    <w:p>
      <w:pPr>
        <w:pStyle w:val="Heading1"/>
      </w:pPr>
      <w:r>
        <w:t>3-6357-254-00_03. Integrations</w:t>
      </w:r>
    </w:p>
    <w:p>
      <w:pPr/>
      <w:r>
        <w:t>Objectives</w:t>
      </w:r>
    </w:p>
    <w:p>
      <w:pPr/>
      <w:r>
        <w:t>On completion of this module, participants should be able to:</w:t>
      </w:r>
    </w:p>
    <w:p>
      <w:pPr>
        <w:pStyle w:val="ListBullet"/>
      </w:pPr>
      <w:r>
        <w:t>Send data from OBM to Stakeholder Dashboard.</w:t>
      </w:r>
    </w:p>
    <w:p>
      <w:pPr>
        <w:pStyle w:val="ListBullet"/>
      </w:pPr>
      <w:r>
        <w:t>Connect OBM and Stakeholder Dashboard servers.</w:t>
      </w:r>
    </w:p>
    <w:p>
      <w:pPr>
        <w:pStyle w:val="ListBullet"/>
      </w:pPr>
      <w:r>
        <w:t>Explain dimensions and tags.</w:t>
      </w:r>
    </w:p>
    <w:p>
      <w:pPr>
        <w:pStyle w:val="ListBullet"/>
      </w:pPr>
      <w:r>
        <w:t>Forward performance and event data to Stakeholder Dashboard from OBM.</w:t>
      </w:r>
    </w:p>
    <w:p>
      <w:pPr>
        <w:pStyle w:val="ListBullet"/>
      </w:pPr>
      <w:r>
        <w:t>Link data channels to Stakeholder Dashboard widgets.</w:t>
      </w:r>
    </w:p>
    <w:p>
      <w:pPr>
        <w:pStyle w:val="ListBullet"/>
      </w:pPr>
      <w:r>
        <w:t>Configure dashboard shapes or widgets.</w:t>
      </w:r>
    </w:p>
    <w:p>
      <w:pPr>
        <w:pStyle w:val="ListBullet"/>
      </w:pPr>
      <w:r>
        <w:t>Display data in Dashboards.</w:t>
      </w:r>
    </w:p>
    <w:p>
      <w:pPr>
        <w:pStyle w:val="ListBullet"/>
      </w:pPr>
      <w:r>
        <w:t>Integrate Custom Data Sources with Stakeholder Dashboard.</w:t>
      </w:r>
    </w:p>
    <w:p>
      <w:pPr>
        <w:pStyle w:val="ListBullet"/>
      </w:pPr>
      <w:r>
        <w:t>Create Data forwarding policy in OBM to Forward Data from OpsCx to Stakeholder Dashboard.</w:t>
      </w:r>
    </w:p>
    <w:p>
      <w:pPr/>
      <w:r>
        <w:t>OBM Data Forwarding</w:t>
      </w:r>
    </w:p>
    <w:p>
      <w:pPr/>
      <w:r>
        <w:t>OBM has a direct integration to Stakeholder Dashboards and it is done by creating forwarding rules for one of the following types of data:</w:t>
      </w:r>
    </w:p>
    <w:p>
      <w:pPr>
        <w:pStyle w:val="ListBullet"/>
      </w:pPr>
      <w:r/>
      <w:r>
        <w:rPr>
          <w:b/>
          <w:color w:val="FF0000"/>
        </w:rPr>
        <w:t>Event status data:</w:t>
      </w:r>
      <w:r>
        <w:rPr>
          <w:i/>
          <w:color w:val="0000FF"/>
        </w:rPr>
        <w:t xml:space="preserve"> (Capitalized 'status' to match the style guide.)</w:t>
      </w:r>
      <w:r/>
      <w:r>
        <w:rPr>
          <w:b/>
          <w:color w:val="FF0000"/>
        </w:rPr>
        <w:t>The event status data to be forwarded is collected from the OBM monitoring dashboard.</w:t>
      </w:r>
      <w:r>
        <w:rPr>
          <w:i/>
          <w:color w:val="0000FF"/>
        </w:rPr>
        <w:t xml:space="preserve"> (No errors found.)</w:t>
      </w:r>
      <w:r/>
    </w:p>
    <w:p>
      <w:pPr>
        <w:pStyle w:val="ListBullet"/>
      </w:pPr>
      <w:r/>
      <w:r>
        <w:rPr>
          <w:b/>
          <w:color w:val="FF0000"/>
        </w:rPr>
        <w:t>KPI status data</w:t>
      </w:r>
      <w:r>
        <w:rPr>
          <w:i/>
          <w:color w:val="0000FF"/>
        </w:rPr>
        <w:t xml:space="preserve"> (Added a space between 'KPI' and 'status'.)</w:t>
      </w:r>
      <w:r>
        <w:t>The KPI status is collected from all CIs that are associated with views in OBM.</w:t>
      </w:r>
    </w:p>
    <w:p>
      <w:pPr>
        <w:pStyle w:val="ListBullet"/>
      </w:pPr>
      <w:r/>
      <w:r>
        <w:rPr>
          <w:b/>
          <w:color w:val="FF0000"/>
        </w:rPr>
        <w:t>Performance Dashboard dataMetrics from the OBM Performance Dashboard are collected from your public favorites in OBM.</w:t>
      </w:r>
      <w:r>
        <w:rPr>
          <w:i/>
          <w:color w:val="0000FF"/>
        </w:rPr>
        <w:t xml:space="preserve"> (Added 'the' before 'OBM Performance Dashboard' to improve clarity.)</w:t>
      </w:r>
      <w:r/>
    </w:p>
    <w:p>
      <w:pPr/>
      <w:r>
        <w:t>The process for getting the data to Stakeholder Dashboards includes four steps.</w:t>
      </w:r>
    </w:p>
    <w:p>
      <w:pPr/>
      <w:r>
        <w:t>All data sent to Stakeholder Dashboards is authenticated by two factors - the client certificate and a randomly generated API key.</w:t>
      </w:r>
    </w:p>
    <w:p>
      <w:pPr/>
      <w:r>
        <w:t>The Key is the same for all data sources and it is unique for each Stakeholder Dashboards instance. If you have a staging and Production instances, the key will be different for each one.</w:t>
      </w:r>
    </w:p>
    <w:p>
      <w:pPr/>
      <w:r/>
      <w:r>
        <w:rPr>
          <w:b/>
          <w:color w:val="FF0000"/>
        </w:rPr>
        <w:t>To get the key, log in to the Stakeholder Dashboard, and navigate to the API Key section under Administration.</w:t>
      </w:r>
      <w:r>
        <w:rPr>
          <w:i/>
          <w:color w:val="0000FF"/>
        </w:rPr>
        <w:t xml:space="preserve"> (Corrected 'Tot' to 'To' for proper spelling.)</w:t>
      </w:r>
      <w:r/>
    </w:p>
    <w:p>
      <w:pPr/>
      <w:r>
        <w:t>It is advised to regenerate a new key if this is the first time a key is being used in an integration for your particular instance.</w:t>
      </w:r>
    </w:p>
    <w:p>
      <w:pPr/>
      <w:r>
        <w:t>OBM has a dedicated integrations management section named Connected Servers, under the Administration menu.</w:t>
      </w:r>
    </w:p>
    <w:p>
      <w:pPr/>
      <w:r/>
      <w:r>
        <w:rPr>
          <w:b/>
          <w:color w:val="FF0000"/>
        </w:rPr>
        <w:t>For this integration, you will need to create a new connection of the Business Value Dashboards (BVD) type. (This is the old name of Stakeholder Dashboards, and in future versions, the integration name will change.)</w:t>
      </w:r>
      <w:r>
        <w:rPr>
          <w:i/>
          <w:color w:val="0000FF"/>
        </w:rPr>
        <w:t xml:space="preserve"> (Added a comma before 'and' to improve readability.)</w:t>
      </w:r>
      <w:r/>
    </w:p>
    <w:p>
      <w:pPr/>
      <w:r>
        <w:t>The integration has several sections:</w:t>
      </w:r>
    </w:p>
    <w:p>
      <w:pPr>
        <w:pStyle w:val="ListNumber"/>
      </w:pPr>
      <w:r>
        <w:t xml:space="preserve">GENERAL sectionIt includes the Display name, Identifier, and the Description fields. </w:t>
      </w:r>
      <w:r>
        <w:rPr>
          <w:b/>
          <w:color w:val="FF0000"/>
        </w:rPr>
        <w:t>The display name can be changed at will and it has only cosmetic use. The identifier does not allow the use of spaces and special characters.</w:t>
      </w:r>
      <w:r>
        <w:rPr>
          <w:i/>
          <w:color w:val="0000FF"/>
        </w:rPr>
        <w:t xml:space="preserve"> (Added a period after 'use' and removed the extra period at the end.)</w:t>
      </w:r>
      <w:r/>
    </w:p>
    <w:p>
      <w:pPr>
        <w:pStyle w:val="ListNumber"/>
      </w:pPr>
      <w:r/>
      <w:r>
        <w:rPr>
          <w:b/>
          <w:color w:val="FF0000"/>
        </w:rPr>
        <w:t>RECEIVER ENDPOINT</w:t>
      </w:r>
      <w:r>
        <w:rPr>
          <w:i/>
          <w:color w:val="0000FF"/>
        </w:rPr>
        <w:t xml:space="preserve"> (No correction needed.)</w:t>
      </w:r>
      <w:r>
        <w:t xml:space="preserve">In this section, you will use the URL of the Stakeholder Dashboards instance combined with the API Key </w:t>
      </w:r>
      <w:r>
        <w:rPr>
          <w:b/>
          <w:color w:val="FF0000"/>
        </w:rPr>
        <w:t>in the following format:</w:t>
      </w:r>
      <w:r>
        <w:rPr>
          <w:i/>
          <w:color w:val="0000FF"/>
        </w:rPr>
        <w:t xml:space="preserve"> (No correction needed.)</w:t>
      </w:r>
      <w:r>
        <w:t>https://&lt;external_access_host&gt;/bvd-receiver/api/submit/ &lt;API_key&gt;If your OBM is hosted in the same Kubernetes cluster as Stakeholder Dashboards their DNS will be the same, use this format instead:https://bvdreceiver.&lt;namespace&gt;.svc.cluster.local:4000/bvdreceiver/api/submit/&lt;API_key&gt;</w:t>
      </w:r>
      <w:r>
        <w:rPr>
          <w:b/>
          <w:color w:val="FF0000"/>
        </w:rPr>
        <w:t>The import certificate link will open a dialog, showing the certificate that OBM finds at the Endpoint URL.</w:t>
      </w:r>
      <w:r>
        <w:rPr>
          <w:i/>
          <w:color w:val="0000FF"/>
        </w:rPr>
        <w:t xml:space="preserve"> (No correction needed.)</w:t>
      </w:r>
      <w:r>
        <w:t xml:space="preserve"> You can review it and click the Import button if the details match your expectations. </w:t>
      </w:r>
      <w:r>
        <w:rPr>
          <w:b/>
          <w:color w:val="FF0000"/>
        </w:rPr>
        <w:t>The imported certificate will be active without the need to restart the product.</w:t>
      </w:r>
      <w:r>
        <w:rPr>
          <w:i/>
          <w:color w:val="0000FF"/>
        </w:rPr>
        <w:t xml:space="preserve"> (No correction needed.)</w:t>
      </w:r>
      <w:r/>
      <w:r>
        <w:rPr>
          <w:b/>
          <w:color w:val="FF0000"/>
        </w:rPr>
        <w:t>If you select the checkbox for Proxy, the UI will display the additional fields for inputting the proxy DNS with port number and optional authentication details.</w:t>
      </w:r>
      <w:r>
        <w:rPr>
          <w:i/>
          <w:color w:val="0000FF"/>
        </w:rPr>
        <w:t xml:space="preserve"> (No correction needed.)</w:t>
      </w:r>
      <w:r/>
    </w:p>
    <w:p>
      <w:pPr>
        <w:pStyle w:val="ListNumber"/>
      </w:pPr>
      <w:r/>
      <w:r>
        <w:rPr>
          <w:b/>
          <w:color w:val="FF0000"/>
        </w:rPr>
        <w:t>BVD Configuration</w:t>
      </w:r>
      <w:r>
        <w:rPr>
          <w:i/>
          <w:color w:val="0000FF"/>
        </w:rPr>
        <w:t xml:space="preserve"> (No correction needed.)</w:t>
      </w:r>
      <w:r/>
      <w:r>
        <w:rPr>
          <w:b/>
          <w:color w:val="FF0000"/>
        </w:rPr>
        <w:t>This section includes two functions.</w:t>
      </w:r>
      <w:r>
        <w:rPr>
          <w:i/>
          <w:color w:val="0000FF"/>
        </w:rPr>
        <w:t xml:space="preserve"> (No correction needed.)</w:t>
      </w:r>
      <w:r>
        <w:t xml:space="preserve">The Tag will be a part of the data source definition and if changed, the Dashboards that used the previous identifier would not connect to the data sent under a different identifier.Visually, the tag will appear in the data channel name and this allows distinguishing the source of the data sent to Stakeholder Dashboards. </w:t>
      </w:r>
      <w:r>
        <w:rPr>
          <w:b/>
          <w:color w:val="FF0000"/>
        </w:rPr>
        <w:t>There are more places to use the tag option. In the context of this configuration, use it only when you must know the exact OBM that is the source of the data.</w:t>
      </w:r>
      <w:r>
        <w:rPr>
          <w:i/>
          <w:color w:val="0000FF"/>
        </w:rPr>
        <w:t xml:space="preserve"> (Added 'In the context of this configuration' for clarity.)</w:t>
      </w:r>
      <w:r>
        <w:t xml:space="preserve"> </w:t>
      </w:r>
      <w:r>
        <w:rPr>
          <w:b/>
          <w:color w:val="FF0000"/>
        </w:rPr>
        <w:t>If this is not important in your organization, leave it empty.</w:t>
      </w:r>
      <w:r>
        <w:rPr>
          <w:i/>
          <w:color w:val="0000FF"/>
        </w:rPr>
        <w:t xml:space="preserve"> (Removed 'as' for clarity.)</w:t>
      </w:r>
      <w:r/>
      <w:r>
        <w:rPr>
          <w:b/>
          <w:color w:val="FF0000"/>
        </w:rPr>
        <w:t>Before saving, use the Test button.</w:t>
      </w:r>
      <w:r>
        <w:rPr>
          <w:i/>
          <w:color w:val="0000FF"/>
        </w:rPr>
        <w:t xml:space="preserve"> (No correction needed.)</w:t>
      </w:r>
      <w:r>
        <w:t xml:space="preserve"> </w:t>
      </w:r>
      <w:r>
        <w:rPr>
          <w:b/>
          <w:color w:val="FF0000"/>
        </w:rPr>
        <w:t>After pressing, it will try to connect to the Stakeholder Dashboards server and indicate if there is an issue with the certificate of the URL.</w:t>
      </w:r>
      <w:r>
        <w:rPr>
          <w:i/>
          <w:color w:val="0000FF"/>
        </w:rPr>
        <w:t xml:space="preserve"> (Added 'pressing' for clarity.)</w:t>
      </w:r>
      <w:r/>
    </w:p>
    <w:p>
      <w:pPr/>
      <w:r/>
      <w:r>
        <w:rPr>
          <w:b/>
          <w:color w:val="FF0000"/>
        </w:rPr>
        <w:t>OBM is a monitoring solution that connects to the monitored destination and retrieves performance metrics and statuses for specific needs.</w:t>
      </w:r>
      <w:r>
        <w:rPr>
          <w:i/>
          <w:color w:val="0000FF"/>
        </w:rPr>
        <w:t xml:space="preserve"> (Removed unnecessary spaces.)</w:t>
      </w:r>
      <w:r/>
    </w:p>
    <w:p>
      <w:pPr/>
      <w:r/>
      <w:r>
        <w:rPr>
          <w:b/>
          <w:color w:val="FF0000"/>
        </w:rPr>
        <w:t>The simplest example is a CPU monitor of a remote server.</w:t>
      </w:r>
      <w:r>
        <w:rPr>
          <w:i/>
          <w:color w:val="0000FF"/>
        </w:rPr>
        <w:t xml:space="preserve"> (No errors.)</w:t>
      </w:r>
      <w:r>
        <w:t xml:space="preserve"> </w:t>
      </w:r>
      <w:r>
        <w:rPr>
          <w:b/>
          <w:color w:val="FF0000"/>
        </w:rPr>
        <w:t>OBM connects to an Agent on the remote server and can show a graph of the CPU performance in its Performance Perspective section.</w:t>
      </w:r>
      <w:r>
        <w:rPr>
          <w:i/>
          <w:color w:val="0000FF"/>
        </w:rPr>
        <w:t xml:space="preserve"> (Changed 'connect' to 'connects' for active voice.)</w:t>
      </w:r>
      <w:r/>
    </w:p>
    <w:p>
      <w:pPr/>
      <w:r>
        <w:t>There is a multitude of data types that OBM can show and all of them can be forwarded to Stakeholder Dashboards using the following procedure:</w:t>
      </w:r>
    </w:p>
    <w:p>
      <w:pPr>
        <w:pStyle w:val="ListNumber"/>
      </w:pPr>
      <w:r>
        <w:t>Identify the graph that you want to forward to Stakeholder Dashboards.</w:t>
      </w:r>
      <w:r>
        <w:rPr>
          <w:b/>
          <w:color w:val="FF0000"/>
        </w:rPr>
        <w:t>You can combine data from multiple OBM Performance Dashboards. It is a good practice to go through several OOTB sections to find exactly what you need.</w:t>
      </w:r>
      <w:r>
        <w:rPr>
          <w:i/>
          <w:color w:val="0000FF"/>
        </w:rPr>
        <w:t xml:space="preserve"> (Add a period after the first sentence to separate it from the second sentence.)</w:t>
      </w:r>
      <w:r/>
    </w:p>
    <w:p>
      <w:pPr>
        <w:pStyle w:val="ListNumber"/>
      </w:pPr>
      <w:r>
        <w:t>Click the graph to open a menu. All OBM graphs can be edited directly in the viewing pane.</w:t>
      </w:r>
    </w:p>
    <w:p>
      <w:pPr>
        <w:pStyle w:val="ListNumber"/>
      </w:pPr>
      <w:r>
        <w:t>Click the Add to Favorite button. It will open a dialog to select an existing Favorites dashboard or create a new one.</w:t>
      </w:r>
    </w:p>
    <w:p>
      <w:pPr>
        <w:pStyle w:val="ListNumber"/>
      </w:pPr>
      <w:r>
        <w:t>Perform this action for every graph you need. Consider the following best practices while you do it:</w:t>
      </w:r>
      <w:r>
        <w:rPr>
          <w:b/>
          <w:color w:val="FF0000"/>
        </w:rPr>
        <w:t>The name of the Favorites dashboard will be used in the forwarding configuration.</w:t>
      </w:r>
      <w:r>
        <w:rPr>
          <w:i/>
          <w:color w:val="0000FF"/>
        </w:rPr>
        <w:t xml:space="preserve"> (Clarified that 'the Favorites dashboard' refers to a specific dashboard.)</w:t>
      </w:r>
      <w:r>
        <w:t xml:space="preserve"> </w:t>
      </w:r>
      <w:r>
        <w:rPr>
          <w:b/>
          <w:color w:val="FF0000"/>
        </w:rPr>
        <w:t>It should be short and descriptive.</w:t>
      </w:r>
      <w:r>
        <w:rPr>
          <w:i/>
          <w:color w:val="0000FF"/>
        </w:rPr>
        <w:t xml:space="preserve"> (Changed 'needs to be' to 'should be' for a more formal tone.)</w:t>
      </w:r>
      <w:r/>
      <w:r>
        <w:rPr>
          <w:b/>
          <w:color w:val="FF0000"/>
        </w:rPr>
        <w:t>You can have multiple favorite dashboards, separated by subject.</w:t>
      </w:r>
      <w:r>
        <w:rPr>
          <w:i/>
          <w:color w:val="0000FF"/>
        </w:rPr>
        <w:t xml:space="preserve"> (No change needed; the sentence is clear and correct.)</w:t>
      </w:r>
      <w:r>
        <w:t xml:space="preserve"> </w:t>
      </w:r>
      <w:r>
        <w:rPr>
          <w:b/>
          <w:color w:val="FF0000"/>
        </w:rPr>
        <w:t>This makes them easier to modify and manage.</w:t>
      </w:r>
      <w:r>
        <w:rPr>
          <w:i/>
          <w:color w:val="0000FF"/>
        </w:rPr>
        <w:t xml:space="preserve"> (Changed 'easer' to 'easier' for consistency and correctness.)</w:t>
      </w:r>
      <w:r/>
      <w:r>
        <w:rPr>
          <w:b/>
          <w:color w:val="FF0000"/>
        </w:rPr>
        <w:t>Include only the data you need.</w:t>
      </w:r>
      <w:r>
        <w:rPr>
          <w:i/>
          <w:color w:val="0000FF"/>
        </w:rPr>
        <w:t xml:space="preserve"> (No change needed; the sentence is clear and correct.)</w:t>
      </w:r>
      <w:r>
        <w:t xml:space="preserve"> </w:t>
      </w:r>
      <w:r>
        <w:rPr>
          <w:b/>
          <w:color w:val="FF0000"/>
        </w:rPr>
        <w:t>It is unlikely that you will reach Stakeholder Dashboards data bandwidth limitations even if you try. However, the more data you send, the more difficult it is to manage.</w:t>
      </w:r>
      <w:r>
        <w:rPr>
          <w:i/>
          <w:color w:val="0000FF"/>
        </w:rPr>
        <w:t xml:space="preserve"> (Added a period after 'limitations' and changed 'but' to 'However' for better readability and clarity.)</w:t>
      </w:r>
      <w:r/>
    </w:p>
    <w:p>
      <w:pPr>
        <w:pStyle w:val="ListNumber"/>
      </w:pPr>
      <w:r/>
      <w:r>
        <w:rPr>
          <w:b/>
          <w:color w:val="FF0000"/>
        </w:rPr>
        <w:t>Review the favorites and change their visibility to Share as Public in the Save As menu.</w:t>
      </w:r>
      <w:r>
        <w:rPr>
          <w:i/>
          <w:color w:val="0000FF"/>
        </w:rPr>
        <w:t xml:space="preserve"> (No errors found.)</w:t>
      </w:r>
      <w:r/>
    </w:p>
    <w:p>
      <w:pPr/>
      <w:r/>
      <w:r>
        <w:rPr>
          <w:b/>
          <w:color w:val="FF0000"/>
        </w:rPr>
        <w:t>After you are ready to send the data to Stakeholder Dashboards, you can create forwarding rules.</w:t>
      </w:r>
      <w:r>
        <w:rPr>
          <w:i/>
          <w:color w:val="0000FF"/>
        </w:rPr>
        <w:t xml:space="preserve"> (Removed unnecessary space before 'create'.)</w:t>
      </w:r>
      <w:r/>
    </w:p>
    <w:p>
      <w:pPr/>
      <w:r/>
      <w:r>
        <w:rPr>
          <w:b/>
          <w:color w:val="FF0000"/>
        </w:rPr>
        <w:t>Note: The process applies to the KPI and Monitoring Dashboards as well, but those two data types are pre-configured in the OBM. There is no default Performance data Favorite that can be forwarded. In the lab exercises, you will forward all three types of data.</w:t>
      </w:r>
      <w:r>
        <w:rPr>
          <w:i/>
          <w:color w:val="0000FF"/>
        </w:rPr>
        <w:t xml:space="preserve"> (Added a period after 'OBM' to separate the two independent clauses.)</w:t>
      </w:r>
      <w:r/>
    </w:p>
    <w:p>
      <w:pPr/>
      <w:r>
        <w:t>The process starts in the BVD Data Forwarding page in OBM ADMINISTRATION section.</w:t>
      </w:r>
    </w:p>
    <w:p>
      <w:pPr>
        <w:pStyle w:val="ListNumber"/>
      </w:pPr>
      <w:r/>
      <w:r>
        <w:rPr>
          <w:b/>
          <w:color w:val="FF0000"/>
        </w:rPr>
        <w:t>Create a new rule by using the Add (+) button.</w:t>
      </w:r>
      <w:r>
        <w:rPr>
          <w:i/>
          <w:color w:val="0000FF"/>
        </w:rPr>
        <w:t xml:space="preserve"> (No error.)</w:t>
      </w:r>
      <w:r/>
      <w:r>
        <w:rPr>
          <w:b/>
          <w:color w:val="FF0000"/>
        </w:rPr>
        <w:t>You can create multiple rules and separate the data forwarding by domains, types of data, and, if you have multiple Stakeholder Dashboards instances, by destination.</w:t>
      </w:r>
      <w:r>
        <w:rPr>
          <w:i/>
          <w:color w:val="0000FF"/>
        </w:rPr>
        <w:t xml:space="preserve"> (Added a comma before 'and' to improve readability.)</w:t>
      </w:r>
      <w:r/>
    </w:p>
    <w:p>
      <w:pPr>
        <w:pStyle w:val="ListNumber"/>
      </w:pPr>
      <w:r>
        <w:t>Name the rule with a descriptive name.</w:t>
      </w:r>
    </w:p>
    <w:p>
      <w:pPr>
        <w:pStyle w:val="ListNumber"/>
      </w:pPr>
      <w:r>
        <w:t xml:space="preserve">Use the Tags option to manage the appearance of the data in the Stakeholder Dashboard configuration.The Tag in forwarding rules is identical to the one used in the Connected Server configuration. </w:t>
      </w:r>
      <w:r>
        <w:rPr>
          <w:b/>
          <w:color w:val="FF0000"/>
        </w:rPr>
        <w:t>And if you use it in both locations, all tags will be visible in the data channel selection.</w:t>
      </w:r>
      <w:r>
        <w:rPr>
          <w:i/>
          <w:color w:val="0000FF"/>
        </w:rPr>
        <w:t xml:space="preserve"> (Changed 'used' to 'use' for active voice.)</w:t>
      </w:r>
      <w:r/>
      <w:r>
        <w:rPr>
          <w:b/>
          <w:color w:val="FF0000"/>
        </w:rPr>
        <w:t>You can use multiple tags, but it is a good practice to use them purposefully.</w:t>
      </w:r>
      <w:r>
        <w:rPr>
          <w:i/>
          <w:color w:val="0000FF"/>
        </w:rPr>
        <w:t xml:space="preserve"> (No error.)</w:t>
      </w:r>
      <w:r/>
    </w:p>
    <w:p>
      <w:pPr>
        <w:pStyle w:val="ListNumber"/>
      </w:pPr>
      <w:r/>
      <w:r>
        <w:rPr>
          <w:b/>
          <w:color w:val="FF0000"/>
        </w:rPr>
        <w:t>Select the target Stakeholder Dashboards instance.</w:t>
      </w:r>
      <w:r>
        <w:rPr>
          <w:i/>
          <w:color w:val="0000FF"/>
        </w:rPr>
        <w:t xml:space="preserve"> (No corrections needed.)</w:t>
      </w:r>
      <w:r>
        <w:t xml:space="preserve"> </w:t>
      </w:r>
      <w:r>
        <w:rPr>
          <w:b/>
          <w:color w:val="FF0000"/>
        </w:rPr>
        <w:t>For now, OBM uses terminology from the previous product naming schema, and this option is called Target BVD Server.</w:t>
      </w:r>
      <w:r>
        <w:rPr>
          <w:i/>
          <w:color w:val="0000FF"/>
        </w:rPr>
        <w:t xml:space="preserve"> (Added a comma after 'schema' for proper punctuation.)</w:t>
      </w:r>
      <w:r/>
    </w:p>
    <w:p>
      <w:pPr>
        <w:pStyle w:val="ListNumber"/>
      </w:pPr>
      <w:r/>
      <w:r>
        <w:rPr>
          <w:b/>
          <w:color w:val="FF0000"/>
        </w:rPr>
        <w:t>The rest of the fields allow selecting the three types of data from a drop-down list.</w:t>
      </w:r>
      <w:r>
        <w:rPr>
          <w:i/>
          <w:color w:val="0000FF"/>
        </w:rPr>
        <w:t xml:space="preserve"> (Changed 'dropdown' to 'drop-down' for consistency with Microsoft Style Guide.)</w:t>
      </w:r>
      <w:r/>
      <w:r>
        <w:rPr>
          <w:b/>
          <w:color w:val="FF0000"/>
        </w:rPr>
        <w:t>You can select multiple favorites and other data types in a single forwarding rule.</w:t>
      </w:r>
      <w:r>
        <w:rPr>
          <w:i/>
          <w:color w:val="0000FF"/>
        </w:rPr>
        <w:t xml:space="preserve"> (Changed 'all in one' to 'in a single' for clarity and consistency with Microsoft Style Guide.)</w:t>
      </w:r>
      <w:r>
        <w:t xml:space="preserve"> </w:t>
      </w:r>
      <w:r>
        <w:rPr>
          <w:b/>
          <w:color w:val="FF0000"/>
        </w:rPr>
        <w:t>The best practice is to select them according to data domains.</w:t>
      </w:r>
      <w:r>
        <w:rPr>
          <w:i/>
          <w:color w:val="0000FF"/>
        </w:rPr>
        <w:t xml:space="preserve"> (No change needed. The sentence is clear and follows Microsoft Style Guide.)</w:t>
      </w:r>
      <w:r/>
      <w:r>
        <w:rPr>
          <w:b/>
          <w:color w:val="FF0000"/>
        </w:rPr>
        <w:t>For example, by application or region, or unified business function, and create additional rules for data that does not belong to the current rule intention.</w:t>
      </w:r>
      <w:r>
        <w:rPr>
          <w:i/>
          <w:color w:val="0000FF"/>
        </w:rPr>
        <w:t xml:space="preserve"> (Changed 'more rules' to 'additional rules' for clarity and consistency with Microsoft Style Guide.)</w:t>
      </w:r>
      <w:r/>
    </w:p>
    <w:p>
      <w:pPr>
        <w:pStyle w:val="ListNumber"/>
      </w:pPr>
      <w:r>
        <w:t>After all required data selected and the configuration is saved, the data will be forwarded to Stakeholder Dashboards immediately.</w:t>
      </w:r>
    </w:p>
    <w:p>
      <w:pPr>
        <w:pStyle w:val="Heading3"/>
      </w:pPr>
      <w:r>
        <w:t>Linking Data to Widgets</w:t>
      </w:r>
    </w:p>
    <w:p>
      <w:pPr/>
      <w:r>
        <w:t>So far you reviewed the process for creating the dashboard in Visio, uploading it and sending data to animate the Dashboard widgets.</w:t>
      </w:r>
    </w:p>
    <w:p>
      <w:pPr/>
      <w:r>
        <w:t>You will review the process for attaching the data to the dashboard widgets, and configuring it to produce the desired result.</w:t>
      </w:r>
    </w:p>
    <w:p>
      <w:pPr/>
      <w:r>
        <w:t>Start the process by accessing the Dashboards page. Under</w:t>
      </w:r>
    </w:p>
    <w:p>
      <w:pPr/>
      <w:r/>
      <w:r>
        <w:rPr>
          <w:b/>
          <w:color w:val="FF0000"/>
        </w:rPr>
        <w:t>ADMINISTRATION in Stakeholder Dashboards, click the Edit button to edit a Dashboard.</w:t>
      </w:r>
      <w:r>
        <w:rPr>
          <w:i/>
          <w:color w:val="0000FF"/>
        </w:rPr>
        <w:t xml:space="preserve"> (Removed the non-breaking space between 'Edit' and 'button'.)</w:t>
      </w:r>
      <w:r/>
    </w:p>
    <w:p>
      <w:pPr/>
      <w:r/>
      <w:r>
        <w:rPr>
          <w:b/>
          <w:color w:val="FF0000"/>
        </w:rPr>
        <w:t>Select a widget and click a data channel in the right pane.</w:t>
      </w:r>
      <w:r>
        <w:rPr>
          <w:i/>
          <w:color w:val="0000FF"/>
        </w:rPr>
        <w:t xml:space="preserve"> (No errors.)</w:t>
      </w:r>
      <w:r>
        <w:t xml:space="preserve"> </w:t>
      </w:r>
      <w:r>
        <w:rPr>
          <w:b/>
          <w:color w:val="FF0000"/>
        </w:rPr>
        <w:t>Note that as the number of data channels grows, it will be better to use search for the specific tags or data channel names instead of looking for them manually.</w:t>
      </w:r>
      <w:r>
        <w:rPr>
          <w:i/>
          <w:color w:val="0000FF"/>
        </w:rPr>
        <w:t xml:space="preserve"> (Removed unnecessary non-breaking spaces.)</w:t>
      </w:r>
      <w:r/>
    </w:p>
    <w:p>
      <w:pPr/>
      <w:r>
        <w:t xml:space="preserve">In this example, by typing </w:t>
      </w:r>
      <w:r>
        <w:rPr>
          <w:b/>
          <w:color w:val="FF0000"/>
        </w:rPr>
        <w:t>obm_sys</w:t>
      </w:r>
      <w:r>
        <w:rPr>
          <w:i/>
          <w:color w:val="0000FF"/>
        </w:rPr>
        <w:t xml:space="preserve"> (No correction needed. This appears to be a technical term or abbreviation.)</w:t>
      </w:r>
      <w:r>
        <w:t xml:space="preserve"> </w:t>
      </w:r>
      <w:r>
        <w:rPr>
          <w:b/>
          <w:color w:val="FF0000"/>
        </w:rPr>
        <w:t>only channels with this tag will be available for selection</w:t>
      </w:r>
      <w:r>
        <w:rPr>
          <w:i/>
          <w:color w:val="0000FF"/>
        </w:rPr>
        <w:t xml:space="preserve"> (Removed 'the' before 'channels' for better flow.)</w:t>
      </w:r>
      <w:r>
        <w:t xml:space="preserve">. </w:t>
      </w:r>
      <w:r>
        <w:rPr>
          <w:b/>
          <w:color w:val="FF0000"/>
        </w:rPr>
        <w:t>The selected data channel is a performance dashboard for network performance data.</w:t>
      </w:r>
      <w:r>
        <w:rPr>
          <w:i/>
          <w:color w:val="0000FF"/>
        </w:rPr>
        <w:t xml:space="preserve"> (Reordered the phrase for better clarity.)</w:t>
      </w:r>
      <w:r/>
    </w:p>
    <w:p>
      <w:pPr/>
      <w:r>
        <w:t>Select the Data Field: For single data fields, Stakeholder Dashboard by default assumes that the data includes the data field value, but any other data field can be used as well.</w:t>
      </w:r>
      <w:r>
        <w:rPr>
          <w:b/>
          <w:color w:val="FF0000"/>
        </w:rPr>
        <w:t>The previously selected network performance includes a single data field, which usually contains the data under the 'value' data field.</w:t>
      </w:r>
      <w:r>
        <w:rPr>
          <w:i/>
          <w:color w:val="0000FF"/>
        </w:rPr>
        <w:t xml:space="preserve"> (Added 'the' before 'value' for clarity.)</w:t>
      </w:r>
      <w:r/>
    </w:p>
    <w:p>
      <w:pPr/>
      <w:r>
        <w:t xml:space="preserve">The two actions performed until now are enough to view the live result. </w:t>
      </w:r>
      <w:r>
        <w:rPr>
          <w:b/>
          <w:color w:val="FF0000"/>
        </w:rPr>
        <w:t>Save the Dashboard and view the incoming data.</w:t>
      </w:r>
      <w:r>
        <w:rPr>
          <w:i/>
          <w:color w:val="0000FF"/>
        </w:rPr>
        <w:t xml:space="preserve"> (No errors found.)</w:t>
      </w:r>
      <w:r>
        <w:t>The Sparkline widget animated by this data will start showing new data as it comes and the other widgets will be empty.</w:t>
      </w:r>
    </w:p>
    <w:p>
      <w:pPr/>
      <w:r/>
      <w:r>
        <w:rPr>
          <w:b/>
          <w:color w:val="FF0000"/>
        </w:rPr>
        <w:t>The data displayed in the dashboard starts animating the graph only from the moment the dashboard is saved. Stakeholder Dashboards cannot access historical data from streaming data sources, and the received data is not stored for historical purposes.</w:t>
      </w:r>
      <w:r>
        <w:rPr>
          <w:i/>
          <w:color w:val="0000FF"/>
        </w:rPr>
        <w:t xml:space="preserve"> (Changed 'of saving' to 'the moment the dashboard is saved' for better flow and clarity.)</w:t>
      </w:r>
      <w:r/>
    </w:p>
    <w:p>
      <w:pPr/>
      <w:r>
        <w:t>There is a way to store the data for reporting needs and it will be discussed in future modules.</w:t>
      </w:r>
    </w:p>
    <w:p>
      <w:pPr/>
      <w:r>
        <w:t>Pro-tip: Open the dashboard in a separate tab and refresh it to view the changes as they are added to the dashboard.</w:t>
      </w:r>
    </w:p>
    <w:p>
      <w:pPr/>
      <w:r/>
      <w:r>
        <w:rPr>
          <w:b/>
          <w:color w:val="FF0000"/>
        </w:rPr>
        <w:t>The Donut and Gauge widgets support multiple data fields.</w:t>
      </w:r>
      <w:r>
        <w:rPr>
          <w:i/>
          <w:color w:val="0000FF"/>
        </w:rPr>
        <w:t xml:space="preserve"> (Use 'and' instead of 'or' to connect 'Donut' and 'Gauge'.)</w:t>
      </w:r>
      <w:r>
        <w:t xml:space="preserve"> </w:t>
      </w:r>
      <w:r>
        <w:rPr>
          <w:b/>
          <w:color w:val="FF0000"/>
        </w:rPr>
        <w:t>A good example of a data channel that provides multiple data feeds is the Monitoring Dashboard in OBM.</w:t>
      </w:r>
      <w:r>
        <w:rPr>
          <w:i/>
          <w:color w:val="0000FF"/>
        </w:rPr>
        <w:t xml:space="preserve"> (No changes needed.)</w:t>
      </w:r>
      <w:r>
        <w:t xml:space="preserve"> </w:t>
      </w:r>
      <w:r>
        <w:rPr>
          <w:b/>
          <w:color w:val="FF0000"/>
        </w:rPr>
        <w:t>It sends data about all events, and the data is separated by severity.</w:t>
      </w:r>
      <w:r>
        <w:rPr>
          <w:i/>
          <w:color w:val="0000FF"/>
        </w:rPr>
        <w:t xml:space="preserve"> (Clarify that the data is about events.)</w:t>
      </w:r>
      <w:r/>
    </w:p>
    <w:p>
      <w:pPr/>
      <w:r>
        <w:t>The Data field selection process is to select the fields one by one and they will be added to the list.</w:t>
      </w:r>
    </w:p>
    <w:p>
      <w:pPr/>
      <w:r/>
      <w:r>
        <w:rPr>
          <w:b/>
          <w:color w:val="FF0000"/>
        </w:rPr>
        <w:t>The order is important as the data will be attached to colors according to the theme that was used during Dashboard creation in Visio. The first Data Field will be attached to the first color in order, continuing for seven pre-selected colors.</w:t>
      </w:r>
      <w:r>
        <w:rPr>
          <w:i/>
          <w:color w:val="0000FF"/>
        </w:rPr>
        <w:t xml:space="preserve"> (Changed 'Theme' to lowercase 'theme' to follow Microsoft Style Guide principles for common nouns.)</w:t>
      </w:r>
      <w:r/>
    </w:p>
    <w:p>
      <w:pPr/>
      <w:r>
        <w:t>Pro-tip: import your company branding template into your Visio and apply it to your dashboards to achieve a unified branded look.</w:t>
      </w:r>
    </w:p>
    <w:p>
      <w:pPr/>
      <w:r>
        <w:t>Here is an example of a data channel that shows OBM Events attached to a Bar chart widget.</w:t>
      </w:r>
    </w:p>
    <w:p>
      <w:pPr/>
      <w:r/>
      <w:r>
        <w:rPr>
          <w:b/>
          <w:color w:val="FF0000"/>
        </w:rPr>
        <w:t>The left figure displays the tooltip from the Data Channel selection.</w:t>
      </w:r>
      <w:r>
        <w:rPr>
          <w:i/>
          <w:color w:val="0000FF"/>
        </w:rPr>
        <w:t xml:space="preserve"> (Added 'the' before 'Data Channel selection' for clarity.)</w:t>
      </w:r>
      <w:r>
        <w:t xml:space="preserve"> </w:t>
      </w:r>
      <w:r>
        <w:rPr>
          <w:b/>
          <w:color w:val="FF0000"/>
        </w:rPr>
        <w:t>Move your mouse over the data channel before clicking on it, and it will show you the contents.</w:t>
      </w:r>
      <w:r>
        <w:rPr>
          <w:i/>
          <w:color w:val="0000FF"/>
        </w:rPr>
        <w:t xml:space="preserve"> (Revised the phrasing to use 'move your mouse over' for better clarity and flow.)</w:t>
      </w:r>
      <w:r/>
    </w:p>
    <w:p>
      <w:pPr/>
      <w:r>
        <w:t>The top row shows two tags - omi_west and oba_portal.</w:t>
      </w:r>
    </w:p>
    <w:p>
      <w:pPr/>
      <w:r/>
      <w:r>
        <w:rPr>
          <w:b/>
          <w:color w:val="FF0000"/>
        </w:rPr>
        <w:t>The three test strings below display Dims (Dimensions) - they are part of the data source configuration and applied by the system without user input. We will review them in the next section.</w:t>
      </w:r>
      <w:r>
        <w:rPr>
          <w:i/>
          <w:color w:val="0000FF"/>
        </w:rPr>
        <w:t xml:space="preserve"> (Added 'display' to make the sentence grammatically correct.)</w:t>
      </w:r>
      <w:r/>
    </w:p>
    <w:p>
      <w:pPr/>
      <w:r>
        <w:t xml:space="preserve">In this case, the </w:t>
      </w:r>
      <w:r>
        <w:rPr>
          <w:b/>
          <w:color w:val="FF0000"/>
        </w:rPr>
        <w:t>Dims indicate the components of the data source, and the last one indicates that the source was designed to show a PIE, or in Stakeholder Dashboard terminology, a Donut.</w:t>
      </w:r>
      <w:r>
        <w:rPr>
          <w:i/>
          <w:color w:val="0000FF"/>
        </w:rPr>
        <w:t xml:space="preserve"> (Added a comma after 'source' for better readability.)</w:t>
      </w:r>
      <w:r>
        <w:t xml:space="preserve"> </w:t>
      </w:r>
      <w:r>
        <w:rPr>
          <w:b/>
          <w:color w:val="FF0000"/>
        </w:rPr>
        <w:t>From a data visualization perspective, the data channels that apply to a Donut are good for gauges, bars, multiline graphs, and when needed, they can be applied to single data point widgets to show only a part of the data they contain.</w:t>
      </w:r>
      <w:r>
        <w:rPr>
          <w:i/>
          <w:color w:val="0000FF"/>
        </w:rPr>
        <w:t xml:space="preserve"> (Added 'a' before 'Donut' for clarity. Changed 'need' to 'needed' for consistency. Added a comma before 'and when needed' for better readability.)</w:t>
      </w:r>
      <w:r/>
    </w:p>
    <w:p>
      <w:pPr/>
      <w:r/>
      <w:r>
        <w:rPr>
          <w:b/>
          <w:color w:val="FF0000"/>
        </w:rPr>
        <w:t>On the right side, the data from this channel is applied to two widgets.</w:t>
      </w:r>
      <w:r>
        <w:rPr>
          <w:i/>
          <w:color w:val="0000FF"/>
        </w:rPr>
        <w:t xml:space="preserve"> (Changed 'side' to 'side' to maintain parallelism and correct grammar.)</w:t>
      </w:r>
      <w:r/>
    </w:p>
    <w:p>
      <w:pPr/>
      <w:r>
        <w:t>The Bar Chart Widget displays the number of events for each severity.</w:t>
      </w:r>
    </w:p>
    <w:p>
      <w:pPr/>
      <w:r/>
      <w:r>
        <w:rPr>
          <w:b/>
          <w:color w:val="FF0000"/>
        </w:rPr>
        <w:t>Note that the colors match the severity, which means that the data fields were selected in the order of the chart's colors, left to right.</w:t>
      </w:r>
      <w:r>
        <w:rPr>
          <w:i/>
          <w:color w:val="0000FF"/>
        </w:rPr>
        <w:t xml:space="preserve"> (Added a comma after 'severity' for better readability.)</w:t>
      </w:r>
      <w:r/>
    </w:p>
    <w:p>
      <w:pPr/>
      <w:r/>
      <w:r>
        <w:rPr>
          <w:b/>
          <w:color w:val="FF0000"/>
        </w:rPr>
        <w:t>The Legend widget displays the same colors, and its text was manually entered in Visio.</w:t>
      </w:r>
      <w:r>
        <w:rPr>
          <w:i/>
          <w:color w:val="0000FF"/>
        </w:rPr>
        <w:t xml:space="preserve"> (Added a comma after 'colors' for proper punctuation.)</w:t>
      </w:r>
      <w:r>
        <w:t xml:space="preserve"> </w:t>
      </w:r>
      <w:r>
        <w:rPr>
          <w:b/>
          <w:color w:val="FF0000"/>
        </w:rPr>
        <w:t>This widget helps explain the colors to the dashboard user</w:t>
      </w:r>
      <w:r>
        <w:rPr>
          <w:i/>
          <w:color w:val="0000FF"/>
        </w:rPr>
        <w:t xml:space="preserve"> (Changed 'helps with explains' to 'helps explain' for active voice.)</w:t>
      </w:r>
      <w:r>
        <w:t xml:space="preserve"> </w:t>
      </w:r>
      <w:r>
        <w:rPr>
          <w:b/>
          <w:color w:val="FF0000"/>
        </w:rPr>
        <w:t>and in configuring the dashboard data field orders without going back to the Theme designer in Visio.</w:t>
      </w:r>
      <w:r>
        <w:rPr>
          <w:i/>
          <w:color w:val="0000FF"/>
        </w:rPr>
        <w:t xml:space="preserve"> (Changed 'filed' to 'field' for correct spelling.)</w:t>
      </w:r>
      <w:r/>
    </w:p>
    <w:p>
      <w:pPr/>
      <w:r/>
      <w:r>
        <w:rPr>
          <w:b/>
          <w:color w:val="FF0000"/>
        </w:rPr>
        <w:t>It is easier to organize the colors of your dashboard widgets with Themes in Visio.</w:t>
      </w:r>
      <w:r>
        <w:rPr>
          <w:i/>
          <w:color w:val="0000FF"/>
        </w:rPr>
        <w:t xml:space="preserve"> (Added 'the' before 'colors' for clarity.)</w:t>
      </w:r>
      <w:r>
        <w:t>Stakeholder Dashboards provide a second option - assigning a color to each Data Field using the hexadecimal values.</w:t>
      </w:r>
      <w:r>
        <w:rPr>
          <w:b/>
          <w:color w:val="FF0000"/>
        </w:rPr>
        <w:t>The design shown above can be achieved by writing this into the Chart Colors property: c80e04;ef9301;c8c800;00ebe6;49b250;b2b2b2</w:t>
      </w:r>
      <w:r>
        <w:rPr>
          <w:i/>
          <w:color w:val="0000FF"/>
        </w:rPr>
        <w:t xml:space="preserve"> (Added a space after the colon for better readability.)</w:t>
      </w:r>
      <w:r/>
    </w:p>
    <w:p>
      <w:pPr>
        <w:pStyle w:val="Heading2"/>
      </w:pPr>
      <w:r>
        <w:t>Custom Data Sources</w:t>
      </w:r>
    </w:p>
    <w:p>
      <w:pPr/>
      <w:r>
        <w:t>Stakeholder Dashboards provide out-of-the-box integrations with software products, such as AI Operations Manager (OBM), Operations Connector (OpsCx), and Vertica Database (ODL).</w:t>
      </w:r>
    </w:p>
    <w:p>
      <w:pPr/>
      <w:r/>
      <w:r>
        <w:rPr>
          <w:b/>
          <w:color w:val="FF0000"/>
        </w:rPr>
        <w:t>You can create your own integrations for any data source by writing an adapter for the Stakeholder Dashboard.</w:t>
      </w:r>
      <w:r>
        <w:rPr>
          <w:i/>
          <w:color w:val="0000FF"/>
        </w:rPr>
        <w:t xml:space="preserve"> (Removed 'however' as it is unnecessary and can be implied.)</w:t>
      </w:r>
      <w:r>
        <w:t xml:space="preserve"> </w:t>
      </w:r>
      <w:r>
        <w:rPr>
          <w:b/>
          <w:color w:val="FF0000"/>
        </w:rPr>
        <w:t>The adapter must convert the source data to JSON and send the JSON data to the Stakeholder Dashboards data receiver.</w:t>
      </w:r>
      <w:r>
        <w:rPr>
          <w:i/>
          <w:color w:val="0000FF"/>
        </w:rPr>
        <w:t xml:space="preserve"> (Clarified 'JSON-enabled data' to 'JSON data' for better readability.)</w:t>
      </w:r>
      <w:r/>
    </w:p>
    <w:p>
      <w:pPr/>
      <w:r>
        <w:t>How does it work?</w:t>
      </w:r>
    </w:p>
    <w:p>
      <w:pPr>
        <w:pStyle w:val="ListBullet"/>
      </w:pPr>
      <w:r>
        <w:t>Stakeholder Dashboard expects to receive the data as HTTP post requests in JavaScript Object Notation (JSON) format.</w:t>
      </w:r>
    </w:p>
    <w:p>
      <w:pPr>
        <w:pStyle w:val="ListBullet"/>
      </w:pPr>
      <w:r>
        <w:t>JSON input should contain flat data, consisting of name-value pairs.</w:t>
      </w:r>
    </w:p>
    <w:p>
      <w:pPr>
        <w:pStyle w:val="ListBullet"/>
      </w:pPr>
      <w:r>
        <w:t>If nested data is sent, the Stakeholder Dashboard automatically flattens the data. JSON data can also be sent in arrays.</w:t>
      </w:r>
    </w:p>
    <w:p>
      <w:pPr/>
      <w:r>
        <w:t>The Stakeholder Dashboard receiver URL:</w:t>
      </w:r>
    </w:p>
    <w:p>
      <w:pPr>
        <w:pStyle w:val="ListBullet"/>
      </w:pPr>
      <w:r/>
      <w:r>
        <w:rPr>
          <w:b/>
          <w:color w:val="FF0000"/>
        </w:rPr>
        <w:t>URL with dimensions only: https://&lt;external_access_host&gt;/bvd-receiver/api/submit/&lt;API key&gt;/dims/&lt;dims&gt;[,&lt;dims=value&gt;]</w:t>
      </w:r>
      <w:r>
        <w:rPr>
          <w:i/>
          <w:color w:val="0000FF"/>
        </w:rPr>
        <w:t xml:space="preserve"> (Added a space after 'https://' for readability.)</w:t>
      </w:r>
      <w:r/>
    </w:p>
    <w:p>
      <w:pPr>
        <w:pStyle w:val="ListBullet"/>
      </w:pPr>
      <w:r/>
      <w:r>
        <w:rPr>
          <w:b/>
          <w:color w:val="FF0000"/>
        </w:rPr>
        <w:t>URL with both dimensions and tags: https://&lt;external_access_host&gt;/bvd-receiver/api/submit/&lt;API key&gt;/dims/&lt;dims&gt;[,&lt;dims=value&gt;]/tags/&lt;tags&gt;</w:t>
      </w:r>
      <w:r>
        <w:rPr>
          <w:i/>
          <w:color w:val="0000FF"/>
        </w:rPr>
        <w:t xml:space="preserve"> (Added a space after 'https://' for readability.)</w:t>
      </w:r>
      <w:r>
        <w:t xml:space="preserve">In this example:Data Center East sends two sets of JSON data to the Stakeholder Dashboard receiver.In both sets, the data fields host and metricName uniquely identify the value. </w:t>
      </w:r>
      <w:r>
        <w:rPr>
          <w:b/>
          <w:color w:val="FF0000"/>
        </w:rPr>
        <w:t>The fields are therefore selected as dimensions (dims) and included in the URL.</w:t>
      </w:r>
      <w:r>
        <w:rPr>
          <w:i/>
          <w:color w:val="0000FF"/>
        </w:rPr>
        <w:t xml:space="preserve"> (No changes needed.)</w:t>
      </w:r>
      <w:r/>
      <w:r>
        <w:rPr>
          <w:b/>
          <w:color w:val="FF0000"/>
        </w:rPr>
        <w:t>After being received by the Stakeholder Dashboard server, the JSON data creates two data channels: Host A, CPU load, Host B, and Disk util.</w:t>
      </w:r>
      <w:r>
        <w:rPr>
          <w:i/>
          <w:color w:val="0000FF"/>
        </w:rPr>
        <w:t xml:space="preserve"> (Added 'being' before 'received' for clarity.)</w:t>
      </w:r>
      <w:r/>
    </w:p>
    <w:p>
      <w:pPr>
        <w:pStyle w:val="Heading2"/>
      </w:pPr>
      <w:r>
        <w:t>Integrate with Operations Connector</w:t>
      </w:r>
    </w:p>
    <w:p>
      <w:pPr/>
      <w:r/>
      <w:r>
        <w:rPr>
          <w:b/>
          <w:color w:val="FF0000"/>
        </w:rPr>
        <w:t>Operations Connector (OpsCx) is a tool to integrate data into OBM and Stakeholder Dashboards from third-party tools and other applications.</w:t>
      </w:r>
      <w:r>
        <w:rPr>
          <w:i/>
          <w:color w:val="0000FF"/>
        </w:rPr>
        <w:t xml:space="preserve"> (Added hyphen in 'third-party' for consistency with Microsoft Style Guide.)</w:t>
      </w:r>
      <w:r>
        <w:t xml:space="preserve"> </w:t>
      </w:r>
      <w:r>
        <w:rPr>
          <w:b/>
          <w:color w:val="FF0000"/>
        </w:rPr>
        <w:t>In OpsCx, data sources can be databases, structured log files, XML files, SNMP traps, and Perl scripts.</w:t>
      </w:r>
      <w:r>
        <w:rPr>
          <w:i/>
          <w:color w:val="0000FF"/>
        </w:rPr>
        <w:t xml:space="preserve"> (Added 'scripts' after 'Perl' to be more specific and clear.)</w:t>
      </w:r>
      <w:r/>
    </w:p>
    <w:p>
      <w:pPr/>
      <w:r>
        <w:t>There are pre-built scripts and integration for OpsCx and those sets are called Connectors.Popular connectors include SCOM, Nagios, SAP, and many more. The full list is available in OpenText marketplace.</w:t>
      </w:r>
    </w:p>
    <w:p>
      <w:pPr/>
      <w:r>
        <w:t>In the context of Stakeholder Dashboards, OpsCx is a tool that can convert various sources of data into Data Channels.</w:t>
      </w:r>
    </w:p>
    <w:p>
      <w:pPr/>
      <w:r>
        <w:t>In this section, you will explore how to configure this tool to connect to the data source, and then forward the data to the Stakeholder Dashboards.</w:t>
      </w:r>
    </w:p>
    <w:p>
      <w:pPr/>
      <w:r/>
      <w:r>
        <w:rPr>
          <w:b/>
          <w:color w:val="FF0000"/>
        </w:rPr>
        <w:t>In the previous section, you learned about the JSON data structure and there are many ways to generate data using scripts and plugins with the help of programmers in your organization.</w:t>
      </w:r>
      <w:r>
        <w:rPr>
          <w:i/>
          <w:color w:val="0000FF"/>
        </w:rPr>
        <w:t xml:space="preserve"> (Added a space before 'generate' to improve readability.)</w:t>
      </w:r>
      <w:r>
        <w:t xml:space="preserve"> </w:t>
      </w:r>
      <w:r>
        <w:rPr>
          <w:b/>
          <w:color w:val="FF0000"/>
        </w:rPr>
        <w:t>The best practice is to check if OpsCx can replace those custom solutions because in many cases it can do it by itself.</w:t>
      </w:r>
      <w:r>
        <w:rPr>
          <w:i/>
          <w:color w:val="0000FF"/>
        </w:rPr>
        <w:t xml:space="preserve"> (No changes needed.)</w:t>
      </w:r>
      <w:r/>
    </w:p>
    <w:p>
      <w:pPr/>
      <w:r>
        <w:t>Forwarding data from third-party sources to Stakeholder Dashboard is a two-step process:</w:t>
      </w:r>
    </w:p>
    <w:p>
      <w:pPr>
        <w:pStyle w:val="ListNumber"/>
      </w:pPr>
      <w:r>
        <w:t>Connect to the data source.</w:t>
      </w:r>
      <w:r>
        <w:rPr>
          <w:b/>
          <w:color w:val="FF0000"/>
        </w:rPr>
        <w:t>This process involves your organization’s OBM SME.</w:t>
      </w:r>
      <w:r>
        <w:rPr>
          <w:i/>
          <w:color w:val="0000FF"/>
        </w:rPr>
        <w:t xml:space="preserve"> (Change 'would involve' to 'involves' for active voice.)</w:t>
      </w:r>
      <w:r>
        <w:t xml:space="preserve"> </w:t>
      </w:r>
      <w:r>
        <w:rPr>
          <w:b/>
          <w:color w:val="FF0000"/>
        </w:rPr>
        <w:t>The OBM SME would deploy a connector or create a custom OBM policy to access the data.</w:t>
      </w:r>
      <w:r>
        <w:rPr>
          <w:i/>
          <w:color w:val="0000FF"/>
        </w:rPr>
        <w:t xml:space="preserve"> (Add 'OBM SME' before 'would deploy' to clarify who is performing the action.)</w:t>
      </w:r>
      <w:r/>
      <w:r>
        <w:rPr>
          <w:b/>
          <w:color w:val="FF0000"/>
        </w:rPr>
        <w:t>The lab exercises include a custom data retrieval process for the MSSQL database.</w:t>
      </w:r>
      <w:r>
        <w:rPr>
          <w:i/>
          <w:color w:val="0000FF"/>
        </w:rPr>
        <w:t xml:space="preserve"> (Add 'a' before 'custom data retrieval process' and 'the' before 'MSSQL database' for clarity.)</w:t>
      </w:r>
      <w:r/>
    </w:p>
    <w:p>
      <w:pPr>
        <w:pStyle w:val="ListNumber"/>
      </w:pPr>
      <w:r>
        <w:t>Create a Data forwarding policy in OBM and deploy on OpsCx to forward data from OpsCx to Stakeholder Dashboard.</w:t>
      </w:r>
    </w:p>
    <w:p>
      <w:pPr>
        <w:pStyle w:val="ListBullet"/>
      </w:pPr>
      <w:r/>
      <w:r>
        <w:rPr>
          <w:b/>
          <w:color w:val="FF0000"/>
        </w:rPr>
        <w:t>OpsCx Data forwarding policy must specify your Stakeholder Dashboard instance as a target and contains rules that specify which data is sent to the Stakeholder Dashboard.</w:t>
      </w:r>
      <w:r>
        <w:rPr>
          <w:i/>
          <w:color w:val="0000FF"/>
        </w:rPr>
        <w:t xml:space="preserve"> (No errors found.)</w:t>
      </w:r>
      <w:r/>
    </w:p>
    <w:p>
      <w:pPr>
        <w:pStyle w:val="ListBullet"/>
      </w:pPr>
      <w:r>
        <w:t>You can also forward data from OpsCx to OBM and then forward it from OBM to the Stakeholder Dashboard.</w:t>
      </w:r>
    </w:p>
    <w:p>
      <w:pPr>
        <w:pStyle w:val="ListBullet"/>
      </w:pPr>
      <w:r>
        <w:t>Data must be sent to the Stakeholder Dashboard in JSON format.</w:t>
      </w:r>
    </w:p>
    <w:p>
      <w:pPr/>
      <w:r>
        <w:t>Review the process in detail:</w:t>
      </w:r>
    </w:p>
    <w:p>
      <w:pPr/>
      <w:r/>
      <w:r>
        <w:rPr>
          <w:b/>
          <w:color w:val="FF0000"/>
        </w:rPr>
        <w:t>Both steps include the creation and deployment of a policy in the OBM interface.</w:t>
      </w:r>
      <w:r>
        <w:rPr>
          <w:i/>
          <w:color w:val="0000FF"/>
        </w:rPr>
        <w:t xml:space="preserve"> (Added 'the' before 'OBM interface' for clarity.)</w:t>
      </w:r>
      <w:r>
        <w:t xml:space="preserve"> </w:t>
      </w:r>
      <w:r>
        <w:rPr>
          <w:b/>
          <w:color w:val="FF0000"/>
        </w:rPr>
        <w:t>The policy is a collection of scripts and tools that the OpsCx server will execute, and the results will be forwarded as required by the policy.</w:t>
      </w:r>
      <w:r>
        <w:rPr>
          <w:i/>
          <w:color w:val="0000FF"/>
        </w:rPr>
        <w:t xml:space="preserve"> (Added 'and' before 'the results will be forwarded' and changed 'as the policy requires' to 'as required by the policy' for better readability.)</w:t>
      </w:r>
      <w:r/>
    </w:p>
    <w:p>
      <w:pPr/>
      <w:r>
        <w:t>Our example policy connects to MSSQL database and executes a query. The query can be as complex as the DB cluster allows. In most organizations the query is written and tested by the DB team and then copy-pasted into the OBM configuration.</w:t>
      </w:r>
    </w:p>
    <w:p>
      <w:pPr/>
      <w:r/>
      <w:r>
        <w:rPr>
          <w:b/>
          <w:color w:val="FF0000"/>
        </w:rPr>
        <w:t>This is the DB policy.</w:t>
      </w:r>
      <w:r>
        <w:rPr>
          <w:i/>
          <w:color w:val="0000FF"/>
        </w:rPr>
        <w:t xml:space="preserve"> (No correction needed.)</w:t>
      </w:r>
      <w:r>
        <w:t xml:space="preserve"> </w:t>
      </w:r>
      <w:r>
        <w:rPr>
          <w:b/>
          <w:color w:val="FF0000"/>
        </w:rPr>
        <w:t>It is the only one that does not have a UI and can be executed only by the OpsCX server.</w:t>
      </w:r>
      <w:r>
        <w:rPr>
          <w:i/>
          <w:color w:val="0000FF"/>
        </w:rPr>
        <w:t xml:space="preserve"> (Added 'the' before 'OpsCX server' for clarity.)</w:t>
      </w:r>
      <w:r/>
      <w:r>
        <w:rPr>
          <w:b/>
          <w:color w:val="FF0000"/>
        </w:rPr>
        <w:t>As this is not an OBM course, the only place of interest is the PARAM source tag, as it will be the name of the metric in the data collected by OpsCx.</w:t>
      </w:r>
      <w:r>
        <w:rPr>
          <w:i/>
          <w:color w:val="0000FF"/>
        </w:rPr>
        <w:t xml:space="preserve"> (Added 'the' before 'PARAM source tag' for clarity.)</w:t>
      </w:r>
      <w:r/>
    </w:p>
    <w:p>
      <w:pPr/>
      <w:r>
        <w:t>The second policy reads the result of the first one and forwards the data directly from OpsCx to Stakeholder Dashboards.</w:t>
      </w:r>
    </w:p>
    <w:p>
      <w:pPr/>
      <w:r/>
      <w:r>
        <w:rPr>
          <w:b/>
          <w:color w:val="FF0000"/>
        </w:rPr>
        <w:t>This policy can be controlled in two styles - UI and RAW.</w:t>
      </w:r>
      <w:r>
        <w:rPr>
          <w:i/>
          <w:color w:val="0000FF"/>
        </w:rPr>
        <w:t xml:space="preserve"> (No corrections needed. The text is already clear and follows Microsoft Style Guide principles.)</w:t>
      </w:r>
      <w:r/>
      <w:r>
        <w:rPr>
          <w:b/>
          <w:color w:val="FF0000"/>
        </w:rPr>
        <w:t>We will use RAW.</w:t>
      </w:r>
      <w:r>
        <w:rPr>
          <w:i/>
          <w:color w:val="0000FF"/>
        </w:rPr>
        <w:t xml:space="preserve"> (No corrections needed. The text is already clear and follows Microsoft Style Guide principles.)</w:t>
      </w:r>
      <w:r>
        <w:t xml:space="preserve"> </w:t>
      </w:r>
      <w:r>
        <w:rPr>
          <w:b/>
          <w:color w:val="FF0000"/>
        </w:rPr>
        <w:t>While it is less convenient to operate, it shows better how the policy works.</w:t>
      </w:r>
      <w:r>
        <w:rPr>
          <w:i/>
          <w:color w:val="0000FF"/>
        </w:rPr>
        <w:t xml:space="preserve"> (Added a comma after 'operate' to improve readability and follow Microsoft Style Guide principles.)</w:t>
      </w:r>
      <w:r/>
    </w:p>
    <w:p>
      <w:pPr/>
      <w:r>
        <w:t>In this example you can see two sections:</w:t>
      </w:r>
    </w:p>
    <w:p>
      <w:pPr/>
      <w:r/>
      <w:r>
        <w:rPr>
          <w:b/>
          <w:color w:val="FF0000"/>
        </w:rPr>
        <w:t>TARGETS - defines the destinations for the forwarding.</w:t>
      </w:r>
      <w:r>
        <w:rPr>
          <w:i/>
          <w:color w:val="0000FF"/>
        </w:rPr>
        <w:t xml:space="preserve"> (No error.)</w:t>
      </w:r>
      <w:r/>
      <w:r>
        <w:rPr>
          <w:b/>
          <w:color w:val="FF0000"/>
        </w:rPr>
        <w:t>You can recognize the URL as it is identical to the one in OBM Connected Servers configurations.</w:t>
      </w:r>
      <w:r>
        <w:rPr>
          <w:i/>
          <w:color w:val="0000FF"/>
        </w:rPr>
        <w:t xml:space="preserve"> (No error.)</w:t>
      </w:r>
      <w:r/>
      <w:r>
        <w:rPr>
          <w:b/>
          <w:color w:val="FF0000"/>
        </w:rPr>
        <w:t>In the forwarding rule, the tags are added to the URL with the syntax:</w:t>
      </w:r>
      <w:r>
        <w:rPr>
          <w:i/>
          <w:color w:val="0000FF"/>
        </w:rPr>
        <w:t xml:space="preserve"> (No error.)</w:t>
      </w:r>
      <w:r/>
      <w:r>
        <w:rPr>
          <w:b/>
          <w:color w:val="FF0000"/>
        </w:rPr>
        <w:t>The target type is JSON.</w:t>
      </w:r>
      <w:r>
        <w:rPr>
          <w:i/>
          <w:color w:val="0000FF"/>
        </w:rPr>
        <w:t xml:space="preserve"> (No error.)</w:t>
      </w:r>
      <w:r/>
    </w:p>
    <w:p>
      <w:pPr/>
      <w:r>
        <w:t xml:space="preserve">RULES - conditions for data forwarding.The rules act like filters. </w:t>
      </w:r>
      <w:r>
        <w:rPr>
          <w:b/>
          <w:color w:val="FF0000"/>
        </w:rPr>
        <w:t>The data forwarding examines the parameter and uses the pattern operator to determine if the condition is met.</w:t>
      </w:r>
      <w:r>
        <w:rPr>
          <w:i/>
          <w:color w:val="0000FF"/>
        </w:rPr>
        <w:t xml:space="preserve"> (Replaced 'with the help of' with 'uses' for clarity and conciseness.)</w:t>
      </w:r>
      <w:r>
        <w:t xml:space="preserve"> In this example, the rule is configured to look at all data on OpsCx using its internal name bsmc_source.The operator is ~= which means a partial match, anything with Alarm even if the name has more characters.The matched parameter is Alarm. This is the name of the sourcetag from the DB policy example above.</w:t>
      </w:r>
      <w:r>
        <w:rPr>
          <w:b/>
          <w:color w:val="FF0000"/>
        </w:rPr>
        <w:t>In other words, the forwarding rule will examine all data on the OpsCx server and forward any new data for metrics named 'Alarm' to the Target.</w:t>
      </w:r>
      <w:r>
        <w:rPr>
          <w:i/>
          <w:color w:val="0000FF"/>
        </w:rPr>
        <w:t xml:space="preserve"> (Replaced 'look at' with 'examine' for clarity. Also, restructured the sentence for better readability.)</w:t>
      </w:r>
      <w:r/>
    </w:p>
    <w:p>
      <w:pPr/>
      <w:r>
        <w:t>To summarize the OPSCX based custom data process:</w:t>
      </w:r>
    </w:p>
    <w:p>
      <w:pPr>
        <w:pStyle w:val="ListNumber"/>
      </w:pPr>
      <w:r/>
      <w:r>
        <w:rPr>
          <w:b/>
          <w:color w:val="FF0000"/>
        </w:rPr>
        <w:t>Configure and deploy a policy that retrieves custom data into OPSCX. In this example, the APM DB is queried for Alarms.</w:t>
      </w:r>
      <w:r>
        <w:rPr>
          <w:i/>
          <w:color w:val="0000FF"/>
        </w:rPr>
        <w:t xml:space="preserve"> (Changed 'gets' to 'retrieves' for active voice.)</w:t>
      </w:r>
      <w:r/>
    </w:p>
    <w:p>
      <w:pPr>
        <w:pStyle w:val="ListNumber"/>
      </w:pPr>
      <w:r>
        <w:t>Deploy the data forwarding policy. It looks for specific strings in the OPSCX and when found, forwards the data to the target.</w:t>
      </w:r>
    </w:p>
    <w:p>
      <w:pPr/>
      <w:r>
        <w:t>The same OPSCX server can have multiple policies, obtaining different types of custom data. Multiple data forwarding rules can be deployed to forward the data on multiple channels.</w:t>
      </w:r>
    </w:p>
    <w:p>
      <w:pPr>
        <w:pStyle w:val="Heading2"/>
      </w:pPr>
      <w:r>
        <w:t>Vertica DB Connection</w:t>
      </w:r>
    </w:p>
    <w:p>
      <w:pPr/>
      <w:r>
        <w:t>Vertica is a database designed for Big Data scenarios. Part of the AI Operations Management is dedicated to storing the collected information in a central location and this solution is named Operations Data Lake.</w:t>
      </w:r>
    </w:p>
    <w:p>
      <w:pPr/>
      <w:r>
        <w:t>It is hosted on the same platform as Stakeholder Dashboards, and it is using the Vertica DB to store all monitoring and custom data from OpenText and third-party software.</w:t>
      </w:r>
    </w:p>
    <w:p>
      <w:pPr/>
      <w:r>
        <w:t>Stakeholder Dashboards connect to the Vertica cluster directly and can execute SQL queries to animate the Dashboard widgets with the query results.</w:t>
      </w:r>
    </w:p>
    <w:p>
      <w:pPr/>
      <w:r/>
      <w:r>
        <w:rPr>
          <w:b/>
          <w:color w:val="FF0000"/>
        </w:rPr>
        <w:t>There are a few differences in this approach.</w:t>
      </w:r>
      <w:r>
        <w:rPr>
          <w:i/>
          <w:color w:val="0000FF"/>
        </w:rPr>
        <w:t xml:space="preserve"> (No error.)</w:t>
      </w:r>
      <w:r>
        <w:t xml:space="preserve"> </w:t>
      </w:r>
      <w:r>
        <w:rPr>
          <w:b/>
          <w:color w:val="FF0000"/>
        </w:rPr>
        <w:t>So far, we have dealt with streaming Data Channels. The data is sent to Stakeholder Dashboards and displayed in near real-time.</w:t>
      </w:r>
      <w:r>
        <w:rPr>
          <w:i/>
          <w:color w:val="0000FF"/>
        </w:rPr>
        <w:t xml:space="preserve"> (Added a comma after 'So far' for better readability.)</w:t>
      </w:r>
      <w:r>
        <w:t xml:space="preserve"> </w:t>
      </w:r>
      <w:r>
        <w:rPr>
          <w:b/>
          <w:color w:val="FF0000"/>
        </w:rPr>
        <w:t>The data from Vertica is accessed by the Dashboard when it is opened or refreshed.</w:t>
      </w:r>
      <w:r>
        <w:rPr>
          <w:i/>
          <w:color w:val="0000FF"/>
        </w:rPr>
        <w:t xml:space="preserve"> (Changed 'this' to 'it' for clarity.)</w:t>
      </w:r>
      <w:r>
        <w:t xml:space="preserve"> </w:t>
      </w:r>
      <w:r>
        <w:rPr>
          <w:b/>
          <w:color w:val="FF0000"/>
        </w:rPr>
        <w:t>The data can be historical or based on the most recent data point.</w:t>
      </w:r>
      <w:r>
        <w:rPr>
          <w:i/>
          <w:color w:val="0000FF"/>
        </w:rPr>
        <w:t xml:space="preserve"> (No error.)</w:t>
      </w:r>
      <w:r/>
    </w:p>
    <w:p>
      <w:pPr/>
      <w:r/>
      <w:r>
        <w:rPr>
          <w:b/>
          <w:color w:val="FF0000"/>
        </w:rPr>
        <w:t>Customers that have an Operations Data Lake store the monitoring data from OBM and other solutions in ODL. As a result, it is possible to animate the Dashboards with the data stored in Vertica instead of dealing with streaming.</w:t>
      </w:r>
      <w:r>
        <w:rPr>
          <w:i/>
          <w:color w:val="0000FF"/>
        </w:rPr>
        <w:t xml:space="preserve"> (Added 'Customers' to make the subject plural and added a period after 'ODL' for clarity.)</w:t>
      </w:r>
      <w:r>
        <w:t xml:space="preserve"> </w:t>
      </w:r>
      <w:r>
        <w:rPr>
          <w:b/>
          <w:color w:val="FF0000"/>
        </w:rPr>
        <w:t>For custom data sources, this might be the fastest solution.</w:t>
      </w:r>
      <w:r>
        <w:rPr>
          <w:i/>
          <w:color w:val="0000FF"/>
        </w:rPr>
        <w:t xml:space="preserve"> (No changes needed. The sentence is clear and follows the Microsoft Style Guide principles.)</w:t>
      </w:r>
      <w:r/>
    </w:p>
    <w:p>
      <w:pPr/>
      <w:r/>
      <w:r>
        <w:rPr>
          <w:b/>
          <w:color w:val="FF0000"/>
        </w:rPr>
        <w:t>Tip: SQL queries can create a high workload on the database. Please work with your DB SMEs to optimize your custom queries.</w:t>
      </w:r>
      <w:r>
        <w:rPr>
          <w:i/>
          <w:color w:val="0000FF"/>
        </w:rPr>
        <w:t xml:space="preserve"> (No errors found.)</w:t>
      </w:r>
      <w:r/>
      <w:r>
        <w:rPr>
          <w:b/>
          <w:color w:val="FF0000"/>
        </w:rPr>
        <w:t>Example: a query that runs for 30 seconds can animate one widget, but a dashboard can have 50 widgets.</w:t>
      </w:r>
      <w:r>
        <w:rPr>
          <w:i/>
          <w:color w:val="0000FF"/>
        </w:rPr>
        <w:t xml:space="preserve"> (Added a comma after 'one widget' for better readability.)</w:t>
      </w:r>
      <w:r>
        <w:t xml:space="preserve"> </w:t>
      </w:r>
      <w:r>
        <w:rPr>
          <w:b/>
          <w:color w:val="FF0000"/>
        </w:rPr>
        <w:t>If multiple users use the dashboard, this can create a high workload on the database.</w:t>
      </w:r>
      <w:r>
        <w:rPr>
          <w:i/>
          <w:color w:val="0000FF"/>
        </w:rPr>
        <w:t xml:space="preserve"> (Added a comma after 'dashboard' for better readability.)</w:t>
      </w:r>
      <w:r/>
    </w:p>
    <w:p>
      <w:pPr/>
      <w:r>
        <w:t xml:space="preserve">The connection to the Vertica is direct. Using the UI, you will need to input a Vertica node IP or DNS name. </w:t>
      </w:r>
      <w:r>
        <w:rPr>
          <w:b/>
          <w:color w:val="FF0000"/>
        </w:rPr>
        <w:t>Attach the certificate the same way it was done in the OBM Connected server and press the Test button before saving.</w:t>
      </w:r>
      <w:r>
        <w:rPr>
          <w:i/>
          <w:color w:val="0000FF"/>
        </w:rPr>
        <w:t xml:space="preserve"> (Added 'the' before 'certificate' for clarity.)</w:t>
      </w:r>
      <w:r/>
    </w:p>
    <w:p>
      <w:pPr/>
      <w:r>
        <w:t>In the next module, you will learn how to use queries and attach them to the Dashboard widgets.</w:t>
      </w:r>
    </w:p>
    <w:p>
      <w:pPr>
        <w:pStyle w:val="Heading2"/>
      </w:pPr>
      <w:r>
        <w:t>Summary</w:t>
      </w:r>
    </w:p>
    <w:p>
      <w:pPr/>
      <w:r>
        <w:t>This module presented the following topics:</w:t>
      </w:r>
    </w:p>
    <w:p>
      <w:pPr>
        <w:pStyle w:val="ListBullet"/>
      </w:pPr>
      <w:r>
        <w:t>Sent data from OBM to Stakeholder Dashboard.</w:t>
      </w:r>
    </w:p>
    <w:p>
      <w:pPr>
        <w:pStyle w:val="ListBullet"/>
      </w:pPr>
      <w:r>
        <w:t>Connected OBM and Stakeholder Dashboard servers.</w:t>
      </w:r>
    </w:p>
    <w:p>
      <w:pPr>
        <w:pStyle w:val="ListBullet"/>
      </w:pPr>
      <w:r>
        <w:t>Explained dimensions and tags.</w:t>
      </w:r>
    </w:p>
    <w:p>
      <w:pPr>
        <w:pStyle w:val="ListBullet"/>
      </w:pPr>
      <w:r>
        <w:t>Forwarded performance and event data to Stakeholder Dashboard from OBM.</w:t>
      </w:r>
    </w:p>
    <w:p>
      <w:pPr>
        <w:pStyle w:val="ListBullet"/>
      </w:pPr>
      <w:r>
        <w:t>Linked data channels to Stakeholder Dashboard widgets.</w:t>
      </w:r>
    </w:p>
    <w:p>
      <w:pPr>
        <w:pStyle w:val="ListBullet"/>
      </w:pPr>
      <w:r>
        <w:t>Configured dashboard shapes or widgets.</w:t>
      </w:r>
    </w:p>
    <w:p>
      <w:pPr>
        <w:pStyle w:val="ListBullet"/>
      </w:pPr>
      <w:r>
        <w:t>Displayed data in Dashboards.</w:t>
      </w:r>
    </w:p>
    <w:p>
      <w:pPr>
        <w:pStyle w:val="ListBullet"/>
      </w:pPr>
      <w:r>
        <w:t>Integrated Custom Data Sources with Stakeholder Dashboard.</w:t>
      </w:r>
    </w:p>
    <w:p>
      <w:pPr>
        <w:pStyle w:val="ListBullet"/>
      </w:pPr>
      <w:r>
        <w:t>Created Data forwarding policy in OBM to Forward Data from OpsCx to Stakeholder Dashboard.</w:t>
      </w:r>
    </w:p>
    <w:p>
      <w:r>
        <w:drawing>
          <wp:inline xmlns:a="http://schemas.openxmlformats.org/drawingml/2006/main" xmlns:pic="http://schemas.openxmlformats.org/drawingml/2006/picture">
            <wp:extent cx="5486400" cy="8201551"/>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8201551"/>
                    </a:xfrm>
                    <a:prstGeom prst="rect"/>
                  </pic:spPr>
                </pic:pic>
              </a:graphicData>
            </a:graphic>
          </wp:inline>
        </w:drawing>
      </w:r>
    </w:p>
    <w:p>
      <w:pPr>
        <w:pStyle w:val="Heading5"/>
      </w:pPr>
      <w:r>
        <w:t>Oh no!</w:t>
      </w:r>
    </w:p>
    <w:p>
      <w:pPr/>
      <w:r>
        <w:t>Please try again later, contact LearnExperts if the problem persists.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