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B4F72"/>
          <w:sz w:val="44"/>
          <w:szCs w:val="44"/>
        </w:rPr>
        <w:t xml:space="preserve">TÜRKİYE OFFSHORE RÜZGAR İHALESİ</w:t>
      </w:r>
    </w:p>
    <w:p>
      <w:pPr>
        <w:spacing w:after="80"/>
        <w:jc w:val="center"/>
      </w:pPr>
      <w:r>
        <w:rPr>
          <w:rFonts w:ascii="Arial" w:cs="Arial" w:eastAsia="Arial" w:hAnsi="Arial"/>
          <w:b/>
          <w:bCs/>
          <w:color w:val="2980B9"/>
          <w:sz w:val="36"/>
          <w:szCs w:val="36"/>
        </w:rPr>
        <w:t xml:space="preserve">YEKA OWPP-2026</w:t>
      </w:r>
    </w:p>
    <w:p>
      <w:pPr>
        <w:spacing w:after="200"/>
        <w:jc w:val="center"/>
      </w:pPr>
      <w:r>
        <w:rPr>
          <w:rFonts w:ascii="Arial" w:cs="Arial" w:eastAsia="Arial" w:hAnsi="Arial"/>
          <w:i/>
          <w:iCs/>
          <w:color w:val="666666"/>
          <w:sz w:val="24"/>
          <w:szCs w:val="24"/>
        </w:rPr>
        <w:t xml:space="preserve">OSINT Araştırma Raporu</w:t>
      </w:r>
    </w:p>
    <w:p>
      <w:pPr>
        <w:spacing w:after="400"/>
        <w:jc w:val="center"/>
      </w:pPr>
      <w:r>
        <w:rPr>
          <w:rFonts w:ascii="Arial" w:cs="Arial" w:eastAsia="Arial" w:hAnsi="Arial"/>
          <w:color w:val="666666"/>
          <w:sz w:val="20"/>
          <w:szCs w:val="20"/>
        </w:rPr>
        <w:t xml:space="preserve">1 Temmuz 2026</w:t>
      </w:r>
    </w:p>
    <w:p>
      <w:pPr>
        <w:pStyle w:val="Heading1"/>
        <w:spacing w:after="200" w:before="360"/>
      </w:pPr>
      <w:r>
        <w:rPr>
          <w:rFonts w:ascii="Arial" w:cs="Arial" w:eastAsia="Arial" w:hAnsi="Arial"/>
          <w:b/>
          <w:bCs/>
          <w:color w:val="1B4F72"/>
          <w:sz w:val="32"/>
          <w:szCs w:val="32"/>
        </w:rPr>
        <w:t xml:space="preserve">1. Genel Bakış</w:t>
      </w:r>
    </w:p>
    <w:p>
      <w:pPr>
        <w:spacing w:after="80" w:before="80"/>
        <w:jc w:val="left"/>
      </w:pPr>
      <w:r>
        <w:rPr>
          <w:rFonts w:ascii="Arial" w:cs="Arial" w:eastAsia="Arial" w:hAnsi="Arial"/>
          <w:b w:val="false"/>
          <w:bCs w:val="false"/>
          <w:i w:val="false"/>
          <w:iCs w:val="false"/>
          <w:color w:val="1C1C1C"/>
          <w:sz w:val="22"/>
          <w:szCs w:val="22"/>
        </w:rPr>
        <w:t xml:space="preserve">Türkiye, YEKA OWPP-2026 adıyla ilk offshore (açıkdeniz) rüzgar ihalesini duyurdu. Enerji ve Tabii Kaynaklar Bakanlığı, 22 Haziran 2026 tarihinde taslak şartnameyi yayımladı ve 17 Ağustos 2026 tarihine kadar görüş bildirimine açık tuttu. Bu, Türkiye'nin ilk büyük ölçekli offshore rüzgar ihalesidir.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Parametre</w:t>
            </w:r>
          </w:p>
        </w:tc>
        <w:tc>
          <w:tcPr>
            <w:tcW w:type="dxa" w:w="586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Detay</w:t>
            </w:r>
          </w:p>
        </w:tc>
      </w:tr>
      <w:tr>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İhale Adı</w:t>
            </w:r>
          </w:p>
        </w:tc>
        <w:tc>
          <w:tcPr>
            <w:tcW w:type="dxa" w:w="5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YEKA OWPP-2026</w:t>
            </w:r>
          </w:p>
        </w:tc>
      </w:tr>
      <w:tr>
        <w:tc>
          <w:tcPr>
            <w:tcW w:type="dxa" w:w="35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Kapasite</w:t>
            </w:r>
          </w:p>
        </w:tc>
        <w:tc>
          <w:tcPr>
            <w:tcW w:type="dxa" w:w="58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1 GW (ilk faz)</w:t>
            </w:r>
          </w:p>
        </w:tc>
      </w:tr>
      <w:tr>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2035 Hedefi</w:t>
            </w:r>
          </w:p>
        </w:tc>
        <w:tc>
          <w:tcPr>
            <w:tcW w:type="dxa" w:w="5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5 GW offshore rüzgar</w:t>
            </w:r>
          </w:p>
        </w:tc>
      </w:tr>
      <w:tr>
        <w:tc>
          <w:tcPr>
            <w:tcW w:type="dxa" w:w="35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İhale Modeli</w:t>
            </w:r>
          </w:p>
        </w:tc>
        <w:tc>
          <w:tcPr>
            <w:tcW w:type="dxa" w:w="58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YEKA (ters açık artırma)</w:t>
            </w:r>
          </w:p>
        </w:tc>
      </w:tr>
      <w:tr>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İmtiyaz Süresi</w:t>
            </w:r>
          </w:p>
        </w:tc>
        <w:tc>
          <w:tcPr>
            <w:tcW w:type="dxa" w:w="5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49 yıl</w:t>
            </w:r>
          </w:p>
        </w:tc>
      </w:tr>
      <w:tr>
        <w:tc>
          <w:tcPr>
            <w:tcW w:type="dxa" w:w="35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Gelir Destek Süresi</w:t>
            </w:r>
          </w:p>
        </w:tc>
        <w:tc>
          <w:tcPr>
            <w:tcW w:type="dxa" w:w="58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27 yıl</w:t>
            </w:r>
          </w:p>
        </w:tc>
      </w:tr>
      <w:tr>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Fiyat Bandı</w:t>
            </w:r>
          </w:p>
        </w:tc>
        <w:tc>
          <w:tcPr>
            <w:tcW w:type="dxa" w:w="5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$0.07 – $0.11/kWh</w:t>
            </w:r>
          </w:p>
        </w:tc>
      </w:tr>
      <w:tr>
        <w:tc>
          <w:tcPr>
            <w:tcW w:type="dxa" w:w="35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Yerli Katkı Zorunluluğu</w:t>
            </w:r>
          </w:p>
        </w:tc>
        <w:tc>
          <w:tcPr>
            <w:tcW w:type="dxa" w:w="58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Toplam yatırımın en az %25'i</w:t>
            </w:r>
          </w:p>
        </w:tc>
      </w:tr>
      <w:tr>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Başvuru Teminatı</w:t>
            </w:r>
          </w:p>
        </w:tc>
        <w:tc>
          <w:tcPr>
            <w:tcW w:type="dxa" w:w="5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$50M</w:t>
            </w:r>
          </w:p>
        </w:tc>
      </w:tr>
      <w:tr>
        <w:tc>
          <w:tcPr>
            <w:tcW w:type="dxa" w:w="35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Sözleşme Teminatı</w:t>
            </w:r>
          </w:p>
        </w:tc>
        <w:tc>
          <w:tcPr>
            <w:tcW w:type="dxa" w:w="58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$250M</w:t>
            </w:r>
          </w:p>
        </w:tc>
      </w:tr>
      <w:tr>
        <w:tc>
          <w:tcPr>
            <w:tcW w:type="dxa" w:w="3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Taslak Şartname</w:t>
            </w:r>
          </w:p>
        </w:tc>
        <w:tc>
          <w:tcPr>
            <w:tcW w:type="dxa" w:w="5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22 Haziran 2026</w:t>
            </w:r>
          </w:p>
        </w:tc>
      </w:tr>
      <w:tr>
        <w:tc>
          <w:tcPr>
            <w:tcW w:type="dxa" w:w="35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Görüş Son Tarihi</w:t>
            </w:r>
          </w:p>
        </w:tc>
        <w:tc>
          <w:tcPr>
            <w:tcW w:type="dxa" w:w="58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17 Ağustos 2026</w:t>
            </w:r>
          </w:p>
        </w:tc>
      </w:tr>
    </w:tbl>
    <w:p>
      <w:pPr>
        <w:pStyle w:val="Heading1"/>
        <w:spacing w:after="200" w:before="360"/>
      </w:pPr>
      <w:r>
        <w:rPr>
          <w:rFonts w:ascii="Arial" w:cs="Arial" w:eastAsia="Arial" w:hAnsi="Arial"/>
          <w:b/>
          <w:bCs/>
          <w:color w:val="1B4F72"/>
          <w:sz w:val="32"/>
          <w:szCs w:val="32"/>
        </w:rPr>
        <w:t xml:space="preserve">2. Aday Bölgeler</w:t>
      </w:r>
    </w:p>
    <w:p>
      <w:pPr>
        <w:spacing w:after="80" w:before="80"/>
        <w:jc w:val="left"/>
      </w:pPr>
      <w:r>
        <w:rPr>
          <w:rFonts w:ascii="Arial" w:cs="Arial" w:eastAsia="Arial" w:hAnsi="Arial"/>
          <w:b w:val="false"/>
          <w:bCs w:val="false"/>
          <w:i w:val="false"/>
          <w:iCs w:val="false"/>
          <w:color w:val="1C1C1C"/>
          <w:sz w:val="22"/>
          <w:szCs w:val="22"/>
        </w:rPr>
        <w:t xml:space="preserve">Bakan Bayraktar'ın açıklamasına göre dört offshore rüzgar alanı belirlendi. Tüm bölgeler Ege/Marmara'da, sabit temelli (fixed-bottom) teknoloji için uygun su derinliklerinde yer alıyor.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Bölge</w:t>
            </w:r>
          </w:p>
        </w:tc>
        <w:tc>
          <w:tcPr>
            <w:tcW w:type="dxa" w:w="220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Deniz</w:t>
            </w:r>
          </w:p>
        </w:tc>
        <w:tc>
          <w:tcPr>
            <w:tcW w:type="dxa" w:w="476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Özellikler</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Saros Körfezi</w:t>
            </w:r>
          </w:p>
        </w:tc>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Ege Denizi</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Sığ su avantajı; askeri bölgeye yakınlık riski</w:t>
            </w:r>
          </w:p>
        </w:tc>
      </w:tr>
      <w:tr>
        <w:tc>
          <w:tcPr>
            <w:tcW w:type="dxa" w:w="24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Gökçeada</w:t>
            </w:r>
          </w:p>
        </w:tc>
        <w:tc>
          <w:tcPr>
            <w:tcW w:type="dxa" w:w="22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Ege Denizi</w:t>
            </w:r>
          </w:p>
        </w:tc>
        <w:tc>
          <w:tcPr>
            <w:tcW w:type="dxa" w:w="47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En yüksek rüzgar hızı (~9 m/s); World Bank raporunda öne çıkan bölge</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Bozcaada</w:t>
            </w:r>
          </w:p>
        </w:tc>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Ege Denizi</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Mevcut onshore altyapıya yakınlık; liman avantajı</w:t>
            </w:r>
          </w:p>
        </w:tc>
      </w:tr>
      <w:tr>
        <w:tc>
          <w:tcPr>
            <w:tcW w:type="dxa" w:w="24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Edremit</w:t>
            </w:r>
          </w:p>
        </w:tc>
        <w:tc>
          <w:tcPr>
            <w:tcW w:type="dxa" w:w="22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Ege Denizi</w:t>
            </w:r>
          </w:p>
        </w:tc>
        <w:tc>
          <w:tcPr>
            <w:tcW w:type="dxa" w:w="47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İzmir-Aliağa endüstriyel bölgesine yakın</w:t>
            </w:r>
          </w:p>
        </w:tc>
      </w:tr>
    </w:tbl>
    <w:p>
      <w:pPr>
        <w:spacing w:after="80" w:before="80"/>
        <w:jc w:val="left"/>
      </w:pPr>
      <w:r>
        <w:rPr>
          <w:rFonts w:ascii="Arial" w:cs="Arial" w:eastAsia="Arial" w:hAnsi="Arial"/>
          <w:b w:val="false"/>
          <w:bCs w:val="false"/>
          <w:i/>
          <w:iCs/>
          <w:color w:val="1C1C1C"/>
          <w:sz w:val="22"/>
          <w:szCs w:val="22"/>
        </w:rPr>
        <w:t xml:space="preserve">Ayrıca DURED'in IPA çalışmasında Marmara Denizi'nde de MetOcean ölçüm noktaları belirlendi; bu bölgeler gelecek fazlar için aday konumunda.</w:t>
      </w:r>
    </w:p>
    <w:p>
      <w:pPr>
        <w:pStyle w:val="Heading1"/>
        <w:spacing w:after="200" w:before="360"/>
      </w:pPr>
      <w:r>
        <w:rPr>
          <w:rFonts w:ascii="Arial" w:cs="Arial" w:eastAsia="Arial" w:hAnsi="Arial"/>
          <w:b/>
          <w:bCs/>
          <w:color w:val="1B4F72"/>
          <w:sz w:val="32"/>
          <w:szCs w:val="32"/>
        </w:rPr>
        <w:t xml:space="preserve">3. İhale Yapısı ve Ekonomi</w:t>
      </w:r>
    </w:p>
    <w:p>
      <w:pPr>
        <w:pStyle w:val="Heading2"/>
        <w:spacing w:after="160" w:before="280"/>
      </w:pPr>
      <w:r>
        <w:rPr>
          <w:rFonts w:ascii="Arial" w:cs="Arial" w:eastAsia="Arial" w:hAnsi="Arial"/>
          <w:b/>
          <w:bCs/>
          <w:color w:val="1C1C1C"/>
          <w:sz w:val="26"/>
          <w:szCs w:val="26"/>
        </w:rPr>
        <w:t xml:space="preserve">3.1 Fiyat ve Gelir Mekanizması</w:t>
      </w:r>
    </w:p>
    <w:p>
      <w:pPr>
        <w:spacing w:after="80" w:before="80"/>
        <w:jc w:val="left"/>
      </w:pPr>
      <w:r>
        <w:rPr>
          <w:rFonts w:ascii="Arial" w:cs="Arial" w:eastAsia="Arial" w:hAnsi="Arial"/>
          <w:b w:val="false"/>
          <w:bCs w:val="false"/>
          <w:i w:val="false"/>
          <w:iCs w:val="false"/>
          <w:color w:val="1C1C1C"/>
          <w:sz w:val="22"/>
          <w:szCs w:val="22"/>
        </w:rPr>
        <w:t xml:space="preserve">İhale ters açık artırma (reverse auction) formatında gerçekleştirilecek. Taban fiyata ($0.07/kWh) ulaşan teklifler, ek katkı payı mekanizması ile yarışacaktır.</w:t>
      </w:r>
    </w:p>
    <w:p>
      <w:pPr>
        <w:pStyle w:val="ListParagraph"/>
        <w:numPr>
          <w:ilvl w:val="0"/>
          <w:numId w:val="2"/>
        </w:numPr>
        <w:spacing w:after="40" w:before="40"/>
      </w:pPr>
      <w:r>
        <w:rPr>
          <w:rFonts w:ascii="Arial" w:cs="Arial" w:eastAsia="Arial" w:hAnsi="Arial"/>
          <w:color w:val="1C1C1C"/>
          <w:sz w:val="22"/>
          <w:szCs w:val="22"/>
        </w:rPr>
        <w:t xml:space="preserve">Taban fiyat: $0.07/kWh — buna ulaşanlar ek katkı payı ile yarışır</w:t>
      </w:r>
    </w:p>
    <w:p>
      <w:pPr>
        <w:pStyle w:val="ListParagraph"/>
        <w:numPr>
          <w:ilvl w:val="0"/>
          <w:numId w:val="2"/>
        </w:numPr>
        <w:spacing w:after="40" w:before="40"/>
      </w:pPr>
      <w:r>
        <w:rPr>
          <w:rFonts w:ascii="Arial" w:cs="Arial" w:eastAsia="Arial" w:hAnsi="Arial"/>
          <w:color w:val="1C1C1C"/>
          <w:sz w:val="22"/>
          <w:szCs w:val="22"/>
        </w:rPr>
        <w:t xml:space="preserve">Tavan fiyat: $0.11/kWh</w:t>
      </w:r>
    </w:p>
    <w:p>
      <w:pPr>
        <w:pStyle w:val="ListParagraph"/>
        <w:numPr>
          <w:ilvl w:val="0"/>
          <w:numId w:val="2"/>
        </w:numPr>
        <w:spacing w:after="40" w:before="40"/>
      </w:pPr>
      <w:r>
        <w:rPr>
          <w:rFonts w:ascii="Arial" w:cs="Arial" w:eastAsia="Arial" w:hAnsi="Arial"/>
          <w:color w:val="1C1C1C"/>
          <w:sz w:val="22"/>
          <w:szCs w:val="22"/>
        </w:rPr>
        <w:t xml:space="preserve">Erken devreye alma bonusu: 7 yıl içinde devreye giren projeler için $0.12/kWh</w:t>
      </w:r>
    </w:p>
    <w:p>
      <w:pPr>
        <w:pStyle w:val="ListParagraph"/>
        <w:numPr>
          <w:ilvl w:val="0"/>
          <w:numId w:val="2"/>
        </w:numPr>
        <w:spacing w:after="40" w:before="40"/>
      </w:pPr>
      <w:r>
        <w:rPr>
          <w:rFonts w:ascii="Arial" w:cs="Arial" w:eastAsia="Arial" w:hAnsi="Arial"/>
          <w:color w:val="1C1C1C"/>
          <w:sz w:val="22"/>
          <w:szCs w:val="22"/>
        </w:rPr>
        <w:t xml:space="preserve">USD cinsinden FiT — döviz riskini azaltıyor, Avrupa offshore projelerine göre önemli avantaj</w:t>
      </w:r>
    </w:p>
    <w:p>
      <w:pPr>
        <w:pStyle w:val="Heading2"/>
        <w:spacing w:after="160" w:before="280"/>
      </w:pPr>
      <w:r>
        <w:rPr>
          <w:rFonts w:ascii="Arial" w:cs="Arial" w:eastAsia="Arial" w:hAnsi="Arial"/>
          <w:b/>
          <w:bCs/>
          <w:color w:val="1C1C1C"/>
          <w:sz w:val="26"/>
          <w:szCs w:val="26"/>
        </w:rPr>
        <w:t xml:space="preserve">3.2 Yerli Katkı ve Teşvikler</w:t>
      </w:r>
    </w:p>
    <w:p>
      <w:pPr>
        <w:pStyle w:val="ListParagraph"/>
        <w:numPr>
          <w:ilvl w:val="0"/>
          <w:numId w:val="3"/>
        </w:numPr>
        <w:spacing w:after="40" w:before="40"/>
      </w:pPr>
      <w:r>
        <w:rPr>
          <w:rFonts w:ascii="Arial" w:cs="Arial" w:eastAsia="Arial" w:hAnsi="Arial"/>
          <w:color w:val="1C1C1C"/>
          <w:sz w:val="22"/>
          <w:szCs w:val="22"/>
        </w:rPr>
        <w:t xml:space="preserve">Toplam yatırımın en az %25'i yerli katkı zorunluluğu</w:t>
      </w:r>
    </w:p>
    <w:p>
      <w:pPr>
        <w:pStyle w:val="ListParagraph"/>
        <w:numPr>
          <w:ilvl w:val="0"/>
          <w:numId w:val="3"/>
        </w:numPr>
        <w:spacing w:after="40" w:before="40"/>
      </w:pPr>
      <w:r>
        <w:rPr>
          <w:rFonts w:ascii="Arial" w:cs="Arial" w:eastAsia="Arial" w:hAnsi="Arial"/>
          <w:color w:val="1C1C1C"/>
          <w:sz w:val="22"/>
          <w:szCs w:val="22"/>
        </w:rPr>
        <w:t xml:space="preserve">Her yüzde puan eksikliği için $5M ceza</w:t>
      </w:r>
    </w:p>
    <w:p>
      <w:pPr>
        <w:pStyle w:val="ListParagraph"/>
        <w:numPr>
          <w:ilvl w:val="0"/>
          <w:numId w:val="3"/>
        </w:numPr>
        <w:spacing w:after="40" w:before="40"/>
      </w:pPr>
      <w:r>
        <w:rPr>
          <w:rFonts w:ascii="Arial" w:cs="Arial" w:eastAsia="Arial" w:hAnsi="Arial"/>
          <w:color w:val="1C1C1C"/>
          <w:sz w:val="22"/>
          <w:szCs w:val="22"/>
        </w:rPr>
        <w:t xml:space="preserve">Türk malı kanat, jeneratör ve şanzıman için ek gelir desteği</w:t>
      </w:r>
    </w:p>
    <w:p>
      <w:pPr>
        <w:pStyle w:val="ListParagraph"/>
        <w:numPr>
          <w:ilvl w:val="0"/>
          <w:numId w:val="3"/>
        </w:numPr>
        <w:spacing w:after="40" w:before="40"/>
      </w:pPr>
      <w:r>
        <w:rPr>
          <w:rFonts w:ascii="Arial" w:cs="Arial" w:eastAsia="Arial" w:hAnsi="Arial"/>
          <w:color w:val="1C1C1C"/>
          <w:sz w:val="22"/>
          <w:szCs w:val="22"/>
        </w:rPr>
        <w:t xml:space="preserve">Yerlileşme: Onshore'da %60+ oranına ulaşılmış durumda; offshore'da artırma potansiyeli var</w:t>
      </w:r>
    </w:p>
    <w:p>
      <w:pPr>
        <w:pStyle w:val="Heading2"/>
        <w:spacing w:after="160" w:before="280"/>
      </w:pPr>
      <w:r>
        <w:rPr>
          <w:rFonts w:ascii="Arial" w:cs="Arial" w:eastAsia="Arial" w:hAnsi="Arial"/>
          <w:b/>
          <w:bCs/>
          <w:color w:val="1C1C1C"/>
          <w:sz w:val="26"/>
          <w:szCs w:val="26"/>
        </w:rPr>
        <w:t xml:space="preserve">3.3 YEKDEM Destek Mekanizması</w:t>
      </w:r>
    </w:p>
    <w:p>
      <w:pPr>
        <w:spacing w:after="80" w:before="80"/>
        <w:jc w:val="left"/>
      </w:pPr>
      <w:r>
        <w:rPr>
          <w:rFonts w:ascii="Arial" w:cs="Arial" w:eastAsia="Arial" w:hAnsi="Arial"/>
          <w:b w:val="false"/>
          <w:bCs w:val="false"/>
          <w:i w:val="false"/>
          <w:iCs w:val="false"/>
          <w:color w:val="1C1C1C"/>
          <w:sz w:val="22"/>
          <w:szCs w:val="22"/>
        </w:rPr>
        <w:t xml:space="preserve">Offshore rüzgar için YEKDEM tarifesi: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Kalem</w:t>
            </w:r>
          </w:p>
        </w:tc>
        <w:tc>
          <w:tcPr>
            <w:tcW w:type="dxa" w:w="536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Değer</w:t>
            </w:r>
          </w:p>
        </w:tc>
      </w:tr>
      <w:tr>
        <w:tc>
          <w:tcPr>
            <w:tcW w:type="dxa" w:w="4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YEKDEM Tarifesi</w:t>
            </w:r>
          </w:p>
        </w:tc>
        <w:tc>
          <w:tcPr>
            <w:tcW w:type="dxa" w:w="53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14.0 TL/kWh (10 yıl)</w:t>
            </w:r>
          </w:p>
        </w:tc>
      </w:tr>
      <w:tr>
        <w:tc>
          <w:tcPr>
            <w:tcW w:type="dxa" w:w="40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YEKDEM Taban Fiyatı</w:t>
            </w:r>
          </w:p>
        </w:tc>
        <w:tc>
          <w:tcPr>
            <w:tcW w:type="dxa" w:w="53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$6.75 cent/kWh</w:t>
            </w:r>
          </w:p>
        </w:tc>
      </w:tr>
      <w:tr>
        <w:tc>
          <w:tcPr>
            <w:tcW w:type="dxa" w:w="4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YEKDEM Tavan Fiyatı</w:t>
            </w:r>
          </w:p>
        </w:tc>
        <w:tc>
          <w:tcPr>
            <w:tcW w:type="dxa" w:w="53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$8.25 cent/kWh</w:t>
            </w:r>
          </w:p>
        </w:tc>
      </w:tr>
      <w:tr>
        <w:tc>
          <w:tcPr>
            <w:tcW w:type="dxa" w:w="40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Yerli Üretim Teşviki</w:t>
            </w:r>
          </w:p>
        </w:tc>
        <w:tc>
          <w:tcPr>
            <w:tcW w:type="dxa" w:w="53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38.45 kuruş/kWh (5 yıl)</w:t>
            </w:r>
          </w:p>
        </w:tc>
      </w:tr>
    </w:tbl>
    <w:p>
      <w:pPr>
        <w:pStyle w:val="Heading1"/>
        <w:spacing w:after="200" w:before="360"/>
      </w:pPr>
      <w:r>
        <w:rPr>
          <w:rFonts w:ascii="Arial" w:cs="Arial" w:eastAsia="Arial" w:hAnsi="Arial"/>
          <w:b/>
          <w:bCs/>
          <w:color w:val="1B4F72"/>
          <w:sz w:val="32"/>
          <w:szCs w:val="32"/>
        </w:rPr>
        <w:t xml:space="preserve">4. Zaman Çizelgesi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Aşama</w:t>
            </w:r>
          </w:p>
        </w:tc>
        <w:tc>
          <w:tcPr>
            <w:tcW w:type="dxa" w:w="486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Süre</w:t>
            </w:r>
          </w:p>
        </w:tc>
      </w:tr>
      <w:tr>
        <w:tc>
          <w:tcPr>
            <w:tcW w:type="dxa" w:w="4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Taslak şartname görüşleri</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17 Ağustos 2026'ya kadar</w:t>
            </w:r>
          </w:p>
        </w:tc>
      </w:tr>
      <w:tr>
        <w:tc>
          <w:tcPr>
            <w:tcW w:type="dxa" w:w="45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Rüzgar ölçüm başlangıcı</w:t>
            </w:r>
          </w:p>
        </w:tc>
        <w:tc>
          <w:tcPr>
            <w:tcW w:type="dxa" w:w="48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Sözleşme +1 yıl</w:t>
            </w:r>
          </w:p>
        </w:tc>
      </w:tr>
      <w:tr>
        <w:tc>
          <w:tcPr>
            <w:tcW w:type="dxa" w:w="4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Deniz tabanı araştırma</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2 yıl içinde</w:t>
            </w:r>
          </w:p>
        </w:tc>
      </w:tr>
      <w:tr>
        <w:tc>
          <w:tcPr>
            <w:tcW w:type="dxa" w:w="45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Ön lisans süresi</w:t>
            </w:r>
          </w:p>
        </w:tc>
        <w:tc>
          <w:tcPr>
            <w:tcW w:type="dxa" w:w="48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36 ay</w:t>
            </w:r>
          </w:p>
        </w:tc>
      </w:tr>
      <w:tr>
        <w:tc>
          <w:tcPr>
            <w:tcW w:type="dxa" w:w="4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İnşaat süresi</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Lisans sonrası 36 ay</w:t>
            </w:r>
          </w:p>
        </w:tc>
      </w:tr>
      <w:tr>
        <w:tc>
          <w:tcPr>
            <w:tcW w:type="dxa" w:w="45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Kapasite faktörü doğrulama</w:t>
            </w:r>
          </w:p>
        </w:tc>
        <w:tc>
          <w:tcPr>
            <w:tcW w:type="dxa" w:w="48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4 yıl</w:t>
            </w:r>
          </w:p>
        </w:tc>
      </w:tr>
      <w:tr>
        <w:tc>
          <w:tcPr>
            <w:tcW w:type="dxa" w:w="4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Çıkış hakkı</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Kapasite faktörü %40'ın altı</w:t>
            </w:r>
          </w:p>
        </w:tc>
      </w:tr>
      <w:tr>
        <w:tc>
          <w:tcPr>
            <w:tcW w:type="dxa" w:w="45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İlk devreye alma tahmini</w:t>
            </w:r>
          </w:p>
        </w:tc>
        <w:tc>
          <w:tcPr>
            <w:tcW w:type="dxa" w:w="48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~2030</w:t>
            </w:r>
          </w:p>
        </w:tc>
      </w:tr>
    </w:tbl>
    <w:p>
      <w:pPr>
        <w:spacing w:after="80" w:before="80"/>
        <w:jc w:val="left"/>
      </w:pPr>
      <w:r>
        <w:rPr>
          <w:rFonts w:ascii="Arial" w:cs="Arial" w:eastAsia="Arial" w:hAnsi="Arial"/>
          <w:b w:val="false"/>
          <w:bCs w:val="false"/>
          <w:i w:val="false"/>
          <w:iCs w:val="false"/>
          <w:color w:val="1C1C1C"/>
          <w:sz w:val="22"/>
          <w:szCs w:val="22"/>
        </w:rPr>
        <w:t xml:space="preserve">Projeden çekilme hakkı: Rüzgar kaynağı değerlendirmesi %40'ın altında kapasite faktörü gösterirse veya deniz tabanı araştırmaları ciddi teknik zorluklar ortaya koyarsa geliştirici projeden vazgeçebilir.</w:t>
      </w:r>
    </w:p>
    <w:p>
      <w:pPr>
        <w:pStyle w:val="Heading1"/>
        <w:spacing w:after="200" w:before="360"/>
      </w:pPr>
      <w:r>
        <w:rPr>
          <w:rFonts w:ascii="Arial" w:cs="Arial" w:eastAsia="Arial" w:hAnsi="Arial"/>
          <w:b/>
          <w:bCs/>
          <w:color w:val="1B4F72"/>
          <w:sz w:val="32"/>
          <w:szCs w:val="32"/>
        </w:rPr>
        <w:t xml:space="preserve">5. Proje Geliştirme Yükümlülükleri</w:t>
      </w:r>
    </w:p>
    <w:p>
      <w:pPr>
        <w:spacing w:after="80" w:before="80"/>
        <w:jc w:val="left"/>
      </w:pPr>
      <w:r>
        <w:rPr>
          <w:rFonts w:ascii="Arial" w:cs="Arial" w:eastAsia="Arial" w:hAnsi="Arial"/>
          <w:b w:val="false"/>
          <w:bCs w:val="false"/>
          <w:i w:val="false"/>
          <w:iCs w:val="false"/>
          <w:color w:val="1C1C1C"/>
          <w:sz w:val="22"/>
          <w:szCs w:val="22"/>
        </w:rPr>
        <w:t xml:space="preserve">Kazanan geliştirici tüm sorumluluğu üstlenmek zorundadır:</w:t>
      </w:r>
    </w:p>
    <w:p>
      <w:pPr>
        <w:pStyle w:val="ListParagraph"/>
        <w:numPr>
          <w:ilvl w:val="0"/>
          <w:numId w:val="4"/>
        </w:numPr>
        <w:spacing w:after="40" w:before="40"/>
      </w:pPr>
      <w:r>
        <w:rPr>
          <w:rFonts w:ascii="Arial" w:cs="Arial" w:eastAsia="Arial" w:hAnsi="Arial"/>
          <w:color w:val="1C1C1C"/>
          <w:sz w:val="22"/>
          <w:szCs w:val="22"/>
        </w:rPr>
        <w:t xml:space="preserve">Metocean ölçümleri (meteorolojik ve oşinografik)</w:t>
      </w:r>
    </w:p>
    <w:p>
      <w:pPr>
        <w:pStyle w:val="ListParagraph"/>
        <w:numPr>
          <w:ilvl w:val="0"/>
          <w:numId w:val="4"/>
        </w:numPr>
        <w:spacing w:after="40" w:before="40"/>
      </w:pPr>
      <w:r>
        <w:rPr>
          <w:rFonts w:ascii="Arial" w:cs="Arial" w:eastAsia="Arial" w:hAnsi="Arial"/>
          <w:color w:val="1C1C1C"/>
          <w:sz w:val="22"/>
          <w:szCs w:val="22"/>
        </w:rPr>
        <w:t xml:space="preserve">Deniz tabanı jeofizik/jeoteknik araştırmalar</w:t>
      </w:r>
    </w:p>
    <w:p>
      <w:pPr>
        <w:pStyle w:val="ListParagraph"/>
        <w:numPr>
          <w:ilvl w:val="0"/>
          <w:numId w:val="4"/>
        </w:numPr>
        <w:spacing w:after="40" w:before="40"/>
      </w:pPr>
      <w:r>
        <w:rPr>
          <w:rFonts w:ascii="Arial" w:cs="Arial" w:eastAsia="Arial" w:hAnsi="Arial"/>
          <w:color w:val="1C1C1C"/>
          <w:sz w:val="22"/>
          <w:szCs w:val="22"/>
        </w:rPr>
        <w:t xml:space="preserve">Teknik ve ekonomik fizibilite çalışmaları</w:t>
      </w:r>
    </w:p>
    <w:p>
      <w:pPr>
        <w:pStyle w:val="ListParagraph"/>
        <w:numPr>
          <w:ilvl w:val="0"/>
          <w:numId w:val="4"/>
        </w:numPr>
        <w:spacing w:after="40" w:before="40"/>
      </w:pPr>
      <w:r>
        <w:rPr>
          <w:rFonts w:ascii="Arial" w:cs="Arial" w:eastAsia="Arial" w:hAnsi="Arial"/>
          <w:color w:val="1C1C1C"/>
          <w:sz w:val="22"/>
          <w:szCs w:val="22"/>
        </w:rPr>
        <w:t xml:space="preserve">Ruhsatlandırma ve izinler (Marine EIA, navigasyon, DSİ deniz alan tahsisi)</w:t>
      </w:r>
    </w:p>
    <w:p>
      <w:pPr>
        <w:pStyle w:val="ListParagraph"/>
        <w:numPr>
          <w:ilvl w:val="0"/>
          <w:numId w:val="4"/>
        </w:numPr>
        <w:spacing w:after="40" w:before="40"/>
      </w:pPr>
      <w:r>
        <w:rPr>
          <w:rFonts w:ascii="Arial" w:cs="Arial" w:eastAsia="Arial" w:hAnsi="Arial"/>
          <w:color w:val="1C1C1C"/>
          <w:sz w:val="22"/>
          <w:szCs w:val="22"/>
        </w:rPr>
        <w:t xml:space="preserve">İnşaat ve devreye alma</w:t>
      </w:r>
    </w:p>
    <w:p>
      <w:pPr>
        <w:pStyle w:val="ListParagraph"/>
        <w:numPr>
          <w:ilvl w:val="0"/>
          <w:numId w:val="4"/>
        </w:numPr>
        <w:spacing w:after="40" w:before="40"/>
      </w:pPr>
      <w:r>
        <w:rPr>
          <w:rFonts w:ascii="Arial" w:cs="Arial" w:eastAsia="Arial" w:hAnsi="Arial"/>
          <w:color w:val="1C1C1C"/>
          <w:sz w:val="22"/>
          <w:szCs w:val="22"/>
        </w:rPr>
        <w:t xml:space="preserve">İşletme ve bakım</w:t>
      </w:r>
    </w:p>
    <w:p>
      <w:pPr>
        <w:spacing w:after="80" w:before="80"/>
        <w:jc w:val="left"/>
      </w:pPr>
      <w:r>
        <w:rPr>
          <w:rFonts w:ascii="Arial" w:cs="Arial" w:eastAsia="Arial" w:hAnsi="Arial"/>
          <w:b w:val="false"/>
          <w:bCs w:val="false"/>
          <w:i w:val="false"/>
          <w:iCs w:val="false"/>
          <w:color w:val="1C1C1C"/>
          <w:sz w:val="22"/>
          <w:szCs w:val="22"/>
        </w:rPr>
        <w:t xml:space="preserve">İzin süreci belirsizliği: Marine EIA, askeri alanlar, navigasyon onayı ve balıkçı kooperatifleri ile istişare gibi süreçler ayrı bürokratik adımlar gerektiriyor.</w:t>
      </w:r>
    </w:p>
    <w:p>
      <w:pPr>
        <w:pStyle w:val="Heading1"/>
        <w:spacing w:after="200" w:before="360"/>
      </w:pPr>
      <w:r>
        <w:rPr>
          <w:rFonts w:ascii="Arial" w:cs="Arial" w:eastAsia="Arial" w:hAnsi="Arial"/>
          <w:b/>
          <w:bCs/>
          <w:color w:val="1B4F72"/>
          <w:sz w:val="32"/>
          <w:szCs w:val="32"/>
        </w:rPr>
        <w:t xml:space="preserve">6. Talipler ve İlgilenen Şirketler</w:t>
      </w:r>
    </w:p>
    <w:p>
      <w:pPr>
        <w:pStyle w:val="Heading2"/>
        <w:spacing w:after="160" w:before="280"/>
      </w:pPr>
      <w:r>
        <w:rPr>
          <w:rFonts w:ascii="Arial" w:cs="Arial" w:eastAsia="Arial" w:hAnsi="Arial"/>
          <w:b/>
          <w:bCs/>
          <w:color w:val="1C1C1C"/>
          <w:sz w:val="26"/>
          <w:szCs w:val="26"/>
        </w:rPr>
        <w:t xml:space="preserve">6.1 Açıkça Talip Olduğunu Duyuranlar</w:t>
      </w:r>
    </w:p>
    <w:p>
      <w:pPr>
        <w:spacing w:after="120" w:before="200"/>
      </w:pPr>
      <w:r>
        <w:rPr>
          <w:rFonts w:ascii="Arial" w:cs="Arial" w:eastAsia="Arial" w:hAnsi="Arial"/>
          <w:b/>
          <w:bCs/>
          <w:color w:val="2980B9"/>
          <w:sz w:val="22"/>
          <w:szCs w:val="22"/>
        </w:rPr>
        <w:t xml:space="preserve">Rönesans Holding (Türkiye)</w:t>
      </w:r>
    </w:p>
    <w:p>
      <w:pPr>
        <w:spacing w:after="80" w:before="80"/>
        <w:jc w:val="left"/>
      </w:pPr>
      <w:r>
        <w:rPr>
          <w:rFonts w:ascii="Arial" w:cs="Arial" w:eastAsia="Arial" w:hAnsi="Arial"/>
          <w:b w:val="false"/>
          <w:bCs w:val="false"/>
          <w:i w:val="false"/>
          <w:iCs w:val="false"/>
          <w:color w:val="1C1C1C"/>
          <w:sz w:val="22"/>
          <w:szCs w:val="22"/>
        </w:rPr>
        <w:t xml:space="preserve">Rönesans Holding Yönetim Kurulu Başkanı İpek Ilıcak Kayaalp, açıkça offshore rüzgar ihalelerine talip olacaklarını duyurdu. Şirket bu ihale için en güçlü aday konumundadır.</w:t>
      </w:r>
    </w:p>
    <w:p>
      <w:pPr>
        <w:pStyle w:val="ListParagraph"/>
        <w:numPr>
          <w:ilvl w:val="0"/>
          <w:numId w:val="5"/>
        </w:numPr>
        <w:spacing w:after="40" w:before="40"/>
      </w:pPr>
      <w:r>
        <w:rPr>
          <w:rFonts w:ascii="Arial" w:cs="Arial" w:eastAsia="Arial" w:hAnsi="Arial"/>
          <w:b/>
          <w:bCs/>
          <w:color w:val="1C1C1C"/>
          <w:sz w:val="22"/>
          <w:szCs w:val="22"/>
        </w:rPr>
        <w:t xml:space="preserve">Topluluk: </w:t>
      </w:r>
      <w:r>
        <w:rPr>
          <w:rFonts w:ascii="Arial" w:cs="Arial" w:eastAsia="Arial" w:hAnsi="Arial"/>
          <w:color w:val="1C1C1C"/>
          <w:sz w:val="22"/>
          <w:szCs w:val="22"/>
        </w:rPr>
        <w:t xml:space="preserve">30 ülkede operasyon, 8 milyar dolar Türkiye yatırımı</w:t>
      </w:r>
    </w:p>
    <w:p>
      <w:pPr>
        <w:pStyle w:val="ListParagraph"/>
        <w:numPr>
          <w:ilvl w:val="0"/>
          <w:numId w:val="5"/>
        </w:numPr>
        <w:spacing w:after="40" w:before="40"/>
      </w:pPr>
      <w:r>
        <w:rPr>
          <w:rFonts w:ascii="Arial" w:cs="Arial" w:eastAsia="Arial" w:hAnsi="Arial"/>
          <w:b/>
          <w:bCs/>
          <w:color w:val="1C1C1C"/>
          <w:sz w:val="22"/>
          <w:szCs w:val="22"/>
        </w:rPr>
        <w:t xml:space="preserve">TotalEnergies ortaklığı: </w:t>
      </w:r>
      <w:r>
        <w:rPr>
          <w:rFonts w:ascii="Arial" w:cs="Arial" w:eastAsia="Arial" w:hAnsi="Arial"/>
          <w:color w:val="1C1C1C"/>
          <w:sz w:val="22"/>
          <w:szCs w:val="22"/>
        </w:rPr>
        <w:t xml:space="preserve">Enerji portföyünün %50'sini TotalEnergies'e sattı (2023); Rönesans Enerji %50-%50 ortaklık</w:t>
      </w:r>
    </w:p>
    <w:p>
      <w:pPr>
        <w:pStyle w:val="ListParagraph"/>
        <w:numPr>
          <w:ilvl w:val="0"/>
          <w:numId w:val="5"/>
        </w:numPr>
        <w:spacing w:after="40" w:before="40"/>
      </w:pPr>
      <w:r>
        <w:rPr>
          <w:rFonts w:ascii="Arial" w:cs="Arial" w:eastAsia="Arial" w:hAnsi="Arial"/>
          <w:b/>
          <w:bCs/>
          <w:color w:val="1C1C1C"/>
          <w:sz w:val="22"/>
          <w:szCs w:val="22"/>
        </w:rPr>
        <w:t xml:space="preserve">Ballast Nedam: </w:t>
      </w:r>
      <w:r>
        <w:rPr>
          <w:rFonts w:ascii="Arial" w:cs="Arial" w:eastAsia="Arial" w:hAnsi="Arial"/>
          <w:color w:val="1C1C1C"/>
          <w:sz w:val="22"/>
          <w:szCs w:val="22"/>
        </w:rPr>
        <w:t xml:space="preserve">150 yıllık Hollanda offshore inşaat şirketi; Windplanblauw Projesi (IJsselmeer) deneyimi; su üstü rüzgar mühendisliği</w:t>
      </w:r>
    </w:p>
    <w:p>
      <w:pPr>
        <w:pStyle w:val="ListParagraph"/>
        <w:numPr>
          <w:ilvl w:val="0"/>
          <w:numId w:val="5"/>
        </w:numPr>
        <w:spacing w:after="40" w:before="40"/>
      </w:pPr>
      <w:r>
        <w:rPr>
          <w:rFonts w:ascii="Arial" w:cs="Arial" w:eastAsia="Arial" w:hAnsi="Arial"/>
          <w:b/>
          <w:bCs/>
          <w:color w:val="1C1C1C"/>
          <w:sz w:val="22"/>
          <w:szCs w:val="22"/>
        </w:rPr>
        <w:t xml:space="preserve">Heitkamp: </w:t>
      </w:r>
      <w:r>
        <w:rPr>
          <w:rFonts w:ascii="Arial" w:cs="Arial" w:eastAsia="Arial" w:hAnsi="Arial"/>
          <w:color w:val="1C1C1C"/>
          <w:sz w:val="22"/>
          <w:szCs w:val="22"/>
        </w:rPr>
        <w:t xml:space="preserve">Almanya merkezli EPC yüklenicisi; rüzgar santrali inşaat uzmanlığı</w:t>
      </w:r>
    </w:p>
    <w:p>
      <w:pPr>
        <w:pStyle w:val="ListParagraph"/>
        <w:numPr>
          <w:ilvl w:val="0"/>
          <w:numId w:val="5"/>
        </w:numPr>
        <w:spacing w:after="40" w:before="40"/>
      </w:pPr>
      <w:r>
        <w:rPr>
          <w:rFonts w:ascii="Arial" w:cs="Arial" w:eastAsia="Arial" w:hAnsi="Arial"/>
          <w:b/>
          <w:bCs/>
          <w:color w:val="1C1C1C"/>
          <w:sz w:val="22"/>
          <w:szCs w:val="22"/>
        </w:rPr>
        <w:t xml:space="preserve">Nordex ortaklığı: </w:t>
      </w:r>
      <w:r>
        <w:rPr>
          <w:rFonts w:ascii="Arial" w:cs="Arial" w:eastAsia="Arial" w:hAnsi="Arial"/>
          <w:color w:val="1C1C1C"/>
          <w:sz w:val="22"/>
          <w:szCs w:val="22"/>
        </w:rPr>
        <w:t xml:space="preserve">189 MW onshore rüzgar anlaşması (YEKA RES-3); N163/6.X türbin tedariki; Türkiye pazar lideri</w:t>
      </w:r>
    </w:p>
    <w:p>
      <w:pPr>
        <w:pStyle w:val="ListParagraph"/>
        <w:numPr>
          <w:ilvl w:val="0"/>
          <w:numId w:val="5"/>
        </w:numPr>
        <w:spacing w:after="40" w:before="40"/>
      </w:pPr>
      <w:r>
        <w:rPr>
          <w:rFonts w:ascii="Arial" w:cs="Arial" w:eastAsia="Arial" w:hAnsi="Arial"/>
          <w:b/>
          <w:bCs/>
          <w:color w:val="1C1C1C"/>
          <w:sz w:val="22"/>
          <w:szCs w:val="22"/>
        </w:rPr>
        <w:t xml:space="preserve">Büyüme hedefi: </w:t>
      </w:r>
      <w:r>
        <w:rPr>
          <w:rFonts w:ascii="Arial" w:cs="Arial" w:eastAsia="Arial" w:hAnsi="Arial"/>
          <w:color w:val="1C1C1C"/>
          <w:sz w:val="22"/>
          <w:szCs w:val="22"/>
        </w:rPr>
        <w:t xml:space="preserve">5 yılda 2 GW yenilenebilir, 2 milyar Euro yatırım; 2027-2028'de 1,000 MW yatırım planı</w:t>
      </w:r>
    </w:p>
    <w:p>
      <w:pPr>
        <w:pStyle w:val="ListParagraph"/>
        <w:numPr>
          <w:ilvl w:val="0"/>
          <w:numId w:val="5"/>
        </w:numPr>
        <w:spacing w:after="40" w:before="40"/>
      </w:pPr>
      <w:r>
        <w:rPr>
          <w:rFonts w:ascii="Arial" w:cs="Arial" w:eastAsia="Arial" w:hAnsi="Arial"/>
          <w:b/>
          <w:bCs/>
          <w:color w:val="1C1C1C"/>
          <w:sz w:val="22"/>
          <w:szCs w:val="22"/>
        </w:rPr>
        <w:t xml:space="preserve">Net sıfır: </w:t>
      </w:r>
      <w:r>
        <w:rPr>
          <w:rFonts w:ascii="Arial" w:cs="Arial" w:eastAsia="Arial" w:hAnsi="Arial"/>
          <w:color w:val="1C1C1C"/>
          <w:sz w:val="22"/>
          <w:szCs w:val="22"/>
        </w:rPr>
        <w:t xml:space="preserve">2040'ta net sıfır emisyon hedefi, 2030'da %55 emisyon azaltımı taahhüdü</w:t>
      </w:r>
    </w:p>
    <w:p>
      <w:pPr>
        <w:spacing w:after="80" w:before="80"/>
        <w:jc w:val="left"/>
      </w:pPr>
      <w:r>
        <w:rPr>
          <w:rFonts w:ascii="Arial" w:cs="Arial" w:eastAsia="Arial" w:hAnsi="Arial"/>
          <w:b w:val="false"/>
          <w:bCs w:val="false"/>
          <w:i/>
          <w:iCs/>
          <w:color w:val="2980B9"/>
          <w:sz w:val="22"/>
          <w:szCs w:val="22"/>
        </w:rPr>
        <w:t xml:space="preserve">Olası konsorsiyum senaryosu: Rönesans Enerji (TotalEnergies %50) + Ballast Nedam (EPC) + Nordex (türbin)</w:t>
      </w:r>
    </w:p>
    <w:p>
      <w:pPr>
        <w:pStyle w:val="Heading2"/>
        <w:spacing w:after="160" w:before="280"/>
      </w:pPr>
      <w:r>
        <w:rPr>
          <w:rFonts w:ascii="Arial" w:cs="Arial" w:eastAsia="Arial" w:hAnsi="Arial"/>
          <w:b/>
          <w:bCs/>
          <w:color w:val="1C1C1C"/>
          <w:sz w:val="26"/>
          <w:szCs w:val="26"/>
        </w:rPr>
        <w:t xml:space="preserve">6.2 Yüksek İhtimalli Uluslararası Oyuncular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Şirket</w:t>
            </w:r>
          </w:p>
        </w:tc>
        <w:tc>
          <w:tcPr>
            <w:tcW w:type="dxa" w:w="160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Ülke</w:t>
            </w:r>
          </w:p>
        </w:tc>
        <w:tc>
          <w:tcPr>
            <w:tcW w:type="dxa" w:w="596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Güçlü Yönler / Neden İlgilenebilir</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TotalEnergies</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Fransa</w:t>
            </w:r>
          </w:p>
        </w:tc>
        <w:tc>
          <w:tcPr>
            <w:tcW w:type="dxa" w:w="5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Rönesans'ın %50 enerji ortağı; Türkiye'de varlık; offshore deneyimi güçlü</w:t>
            </w:r>
          </w:p>
        </w:tc>
      </w:tr>
      <w:tr>
        <w:tc>
          <w:tcPr>
            <w:tcW w:type="dxa" w:w="18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Nordex Grup</w:t>
            </w:r>
          </w:p>
        </w:tc>
        <w:tc>
          <w:tcPr>
            <w:tcW w:type="dxa" w:w="16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Almanya</w:t>
            </w:r>
          </w:p>
        </w:tc>
        <w:tc>
          <w:tcPr>
            <w:tcW w:type="dxa" w:w="59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Rönesans'ın mevcut türbin tedarikçisi; Türkiye pazar lideri (3,583 MW); yerli katkı avantajı</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Ørsted</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Danimarka</w:t>
            </w:r>
          </w:p>
        </w:tc>
        <w:tc>
          <w:tcPr>
            <w:tcW w:type="dxa" w:w="5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Dünyanın en büyük offshore geliştiricisi; yeni pazarlara agresif giriş</w:t>
            </w:r>
          </w:p>
        </w:tc>
      </w:tr>
      <w:tr>
        <w:tc>
          <w:tcPr>
            <w:tcW w:type="dxa" w:w="18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Equinor</w:t>
            </w:r>
          </w:p>
        </w:tc>
        <w:tc>
          <w:tcPr>
            <w:tcW w:type="dxa" w:w="16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Norveç</w:t>
            </w:r>
          </w:p>
        </w:tc>
        <w:tc>
          <w:tcPr>
            <w:tcW w:type="dxa" w:w="59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Karadeniz floating offshore potansiyeli; floating teknolojide lider</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Iberdrola</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İspanya</w:t>
            </w:r>
          </w:p>
        </w:tc>
        <w:tc>
          <w:tcPr>
            <w:tcW w:type="dxa" w:w="5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Avrupa'nın en büyük rüzgar şirketlerinden; Türkiye'ye giriş arayışında</w:t>
            </w:r>
          </w:p>
        </w:tc>
      </w:tr>
      <w:tr>
        <w:tc>
          <w:tcPr>
            <w:tcW w:type="dxa" w:w="18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EDF Renewables</w:t>
            </w:r>
          </w:p>
        </w:tc>
        <w:tc>
          <w:tcPr>
            <w:tcW w:type="dxa" w:w="16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Fransa</w:t>
            </w:r>
          </w:p>
        </w:tc>
        <w:tc>
          <w:tcPr>
            <w:tcW w:type="dxa" w:w="59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Akdeniz offshore deneyimli; yeni pazar arayışında</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EnBW</w:t>
            </w:r>
          </w:p>
        </w:tc>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Almanya</w:t>
            </w:r>
          </w:p>
        </w:tc>
        <w:tc>
          <w:tcPr>
            <w:tcW w:type="dxa" w:w="5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Almanya offshore lideri; Türk partner arayışı</w:t>
            </w:r>
          </w:p>
        </w:tc>
      </w:tr>
      <w:tr>
        <w:tc>
          <w:tcPr>
            <w:tcW w:type="dxa" w:w="18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ACWA Power</w:t>
            </w:r>
          </w:p>
        </w:tc>
        <w:tc>
          <w:tcPr>
            <w:tcW w:type="dxa" w:w="16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Suudi Arabistan</w:t>
            </w:r>
          </w:p>
        </w:tc>
        <w:tc>
          <w:tcPr>
            <w:tcW w:type="dxa" w:w="59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Türkiye'de 5 GW güneş için görüşmelerde; İslami finans yapısı EBRD/IsDB uyumlu</w:t>
            </w:r>
          </w:p>
        </w:tc>
      </w:tr>
    </w:tbl>
    <w:p>
      <w:pPr>
        <w:pStyle w:val="Heading2"/>
        <w:spacing w:after="160" w:before="280"/>
      </w:pPr>
      <w:r>
        <w:rPr>
          <w:rFonts w:ascii="Arial" w:cs="Arial" w:eastAsia="Arial" w:hAnsi="Arial"/>
          <w:b/>
          <w:bCs/>
          <w:color w:val="1C1C1C"/>
          <w:sz w:val="26"/>
          <w:szCs w:val="26"/>
        </w:rPr>
        <w:t xml:space="preserve">6.3 Türk Ortak Adayları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Şirket</w:t>
            </w:r>
          </w:p>
        </w:tc>
        <w:tc>
          <w:tcPr>
            <w:tcW w:type="dxa" w:w="716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Güçlü Yönler</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Kalyon Enerji</w:t>
            </w:r>
          </w:p>
        </w:tc>
        <w:tc>
          <w:tcPr>
            <w:tcW w:type="dxa" w:w="7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Önceki YEKA rüzgar ihalesini kazandı (Siemens Gamesa konsorsiyumu); Aliağa'da üretim tesisi</w:t>
            </w:r>
          </w:p>
        </w:tc>
      </w:tr>
      <w:tr>
        <w:tc>
          <w:tcPr>
            <w:tcW w:type="dxa" w:w="22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Türkerler</w:t>
            </w:r>
          </w:p>
        </w:tc>
        <w:tc>
          <w:tcPr>
            <w:tcW w:type="dxa" w:w="71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Siemens Gamesa ile İzmir Aliağa'da türbin üretim tesisi; kanat/kule üretimi</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Çalık Enerji</w:t>
            </w:r>
          </w:p>
        </w:tc>
        <w:tc>
          <w:tcPr>
            <w:tcW w:type="dxa" w:w="7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Enerji sektöründe güçlü yerel oyuncu; uluslararası ortaklık deneyimi</w:t>
            </w:r>
          </w:p>
        </w:tc>
      </w:tr>
      <w:tr>
        <w:tc>
          <w:tcPr>
            <w:tcW w:type="dxa" w:w="22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IC İçtaş</w:t>
            </w:r>
          </w:p>
        </w:tc>
        <w:tc>
          <w:tcPr>
            <w:tcW w:type="dxa" w:w="71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Altyapı ve enerji yatırımı; büyük proje deneyimi</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Eren Enerji / Egesil</w:t>
            </w:r>
          </w:p>
        </w:tc>
        <w:tc>
          <w:tcPr>
            <w:tcW w:type="dxa" w:w="7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Yerel rüzgar deneyimi</w:t>
            </w:r>
          </w:p>
        </w:tc>
      </w:tr>
    </w:tbl>
    <w:p>
      <w:pPr>
        <w:pStyle w:val="Heading2"/>
        <w:spacing w:after="160" w:before="280"/>
      </w:pPr>
      <w:r>
        <w:rPr>
          <w:rFonts w:ascii="Arial" w:cs="Arial" w:eastAsia="Arial" w:hAnsi="Arial"/>
          <w:b/>
          <w:bCs/>
          <w:color w:val="1C1C1C"/>
          <w:sz w:val="26"/>
          <w:szCs w:val="26"/>
        </w:rPr>
        <w:t xml:space="preserve">6.4 Türk Üretim ve Tedarik Altyapısı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Şirket/Tesis</w:t>
            </w:r>
          </w:p>
        </w:tc>
        <w:tc>
          <w:tcPr>
            <w:tcW w:type="dxa" w:w="596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Kapasite / Rol</w:t>
            </w:r>
          </w:p>
        </w:tc>
      </w:tr>
      <w:tr>
        <w:tc>
          <w:tcPr>
            <w:tcW w:type="dxa" w:w="3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Siemens Gamesa–Türkerler (Aliağa)</w:t>
            </w:r>
          </w:p>
        </w:tc>
        <w:tc>
          <w:tcPr>
            <w:tcW w:type="dxa" w:w="5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Kanat, jeneratör, kule üretimi</w:t>
            </w:r>
          </w:p>
        </w:tc>
      </w:tr>
      <w:tr>
        <w:tc>
          <w:tcPr>
            <w:tcW w:type="dxa" w:w="34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Nordex Enerji A.Ş.</w:t>
            </w:r>
          </w:p>
        </w:tc>
        <w:tc>
          <w:tcPr>
            <w:tcW w:type="dxa" w:w="59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Türkiye pazar lideri; 7 MW türbinler; yerli üretim</w:t>
            </w:r>
          </w:p>
        </w:tc>
      </w:tr>
      <w:tr>
        <w:tc>
          <w:tcPr>
            <w:tcW w:type="dxa" w:w="3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Nexans</w:t>
            </w:r>
          </w:p>
        </w:tc>
        <w:tc>
          <w:tcPr>
            <w:tcW w:type="dxa" w:w="5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Denizaltı kablo üretimi, Türkiye fabrikası</w:t>
            </w:r>
          </w:p>
        </w:tc>
      </w:tr>
      <w:tr>
        <w:tc>
          <w:tcPr>
            <w:tcW w:type="dxa" w:w="34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Prysmian</w:t>
            </w:r>
          </w:p>
        </w:tc>
        <w:tc>
          <w:tcPr>
            <w:tcW w:type="dxa" w:w="59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Denizaltı kablo üretimi, Türkiye varlığı</w:t>
            </w:r>
          </w:p>
        </w:tc>
      </w:tr>
      <w:tr>
        <w:tc>
          <w:tcPr>
            <w:tcW w:type="dxa" w:w="3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Heitkamp (Rönesans)</w:t>
            </w:r>
          </w:p>
        </w:tc>
        <w:tc>
          <w:tcPr>
            <w:tcW w:type="dxa" w:w="59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EPC yüklenicisi; rüzgar inşaat; Alman mühendislik</w:t>
            </w:r>
          </w:p>
        </w:tc>
      </w:tr>
    </w:tbl>
    <w:p>
      <w:pPr>
        <w:pStyle w:val="Heading1"/>
        <w:spacing w:after="200" w:before="360"/>
      </w:pPr>
      <w:r>
        <w:rPr>
          <w:rFonts w:ascii="Arial" w:cs="Arial" w:eastAsia="Arial" w:hAnsi="Arial"/>
          <w:b/>
          <w:bCs/>
          <w:color w:val="1B4F72"/>
          <w:sz w:val="32"/>
          <w:szCs w:val="32"/>
        </w:rPr>
        <w:t xml:space="preserve">7. Bir Firmanın Bilmesi Gereken Kritik Noktalar</w:t>
      </w:r>
    </w:p>
    <w:p>
      <w:pPr>
        <w:pStyle w:val="Heading2"/>
        <w:spacing w:after="160" w:before="280"/>
      </w:pPr>
      <w:r>
        <w:rPr>
          <w:rFonts w:ascii="Arial" w:cs="Arial" w:eastAsia="Arial" w:hAnsi="Arial"/>
          <w:b/>
          <w:bCs/>
          <w:color w:val="1C1C1C"/>
          <w:sz w:val="26"/>
          <w:szCs w:val="26"/>
        </w:rPr>
        <w:t xml:space="preserve">7.1 Giriş Engelleri</w:t>
      </w:r>
    </w:p>
    <w:p>
      <w:pPr>
        <w:pStyle w:val="ListParagraph"/>
        <w:numPr>
          <w:ilvl w:val="0"/>
          <w:numId w:val="6"/>
        </w:numPr>
        <w:spacing w:after="40" w:before="40"/>
      </w:pPr>
      <w:r>
        <w:rPr>
          <w:rFonts w:ascii="Arial" w:cs="Arial" w:eastAsia="Arial" w:hAnsi="Arial"/>
          <w:color w:val="1C1C1C"/>
          <w:sz w:val="22"/>
          <w:szCs w:val="22"/>
        </w:rPr>
        <w:t xml:space="preserve">$50M başvuru teminatı → $250M sözleşme teminatı. Sadece ciddi oyuncular girebilir.</w:t>
      </w:r>
    </w:p>
    <w:p>
      <w:pPr>
        <w:pStyle w:val="ListParagraph"/>
        <w:numPr>
          <w:ilvl w:val="0"/>
          <w:numId w:val="6"/>
        </w:numPr>
        <w:spacing w:after="40" w:before="40"/>
      </w:pPr>
      <w:r>
        <w:rPr>
          <w:rFonts w:ascii="Arial" w:cs="Arial" w:eastAsia="Arial" w:hAnsi="Arial"/>
          <w:color w:val="1C1C1C"/>
          <w:sz w:val="22"/>
          <w:szCs w:val="22"/>
        </w:rPr>
        <w:t xml:space="preserve">Yabancı yatırımcılar Türkiye'de şirket kurmak zorunda.</w:t>
      </w:r>
    </w:p>
    <w:p>
      <w:pPr>
        <w:pStyle w:val="ListParagraph"/>
        <w:numPr>
          <w:ilvl w:val="0"/>
          <w:numId w:val="6"/>
        </w:numPr>
        <w:spacing w:after="40" w:before="40"/>
      </w:pPr>
      <w:r>
        <w:rPr>
          <w:rFonts w:ascii="Arial" w:cs="Arial" w:eastAsia="Arial" w:hAnsi="Arial"/>
          <w:color w:val="1C1C1C"/>
          <w:sz w:val="22"/>
          <w:szCs w:val="22"/>
        </w:rPr>
        <w:t xml:space="preserve">%25 yerli katkı zorunluluğu — her pp eksiklik $5M ceza.</w:t>
      </w:r>
    </w:p>
    <w:p>
      <w:pPr>
        <w:pStyle w:val="Heading2"/>
        <w:spacing w:after="160" w:before="280"/>
      </w:pPr>
      <w:r>
        <w:rPr>
          <w:rFonts w:ascii="Arial" w:cs="Arial" w:eastAsia="Arial" w:hAnsi="Arial"/>
          <w:b/>
          <w:bCs/>
          <w:color w:val="1C1C1C"/>
          <w:sz w:val="26"/>
          <w:szCs w:val="26"/>
        </w:rPr>
        <w:t xml:space="preserve">7.2 USD FiT Avantajı</w:t>
      </w:r>
    </w:p>
    <w:p>
      <w:pPr>
        <w:pStyle w:val="ListParagraph"/>
        <w:numPr>
          <w:ilvl w:val="0"/>
          <w:numId w:val="6"/>
        </w:numPr>
        <w:spacing w:after="40" w:before="40"/>
      </w:pPr>
      <w:r>
        <w:rPr>
          <w:rFonts w:ascii="Arial" w:cs="Arial" w:eastAsia="Arial" w:hAnsi="Arial"/>
          <w:color w:val="1C1C1C"/>
          <w:sz w:val="22"/>
          <w:szCs w:val="22"/>
        </w:rPr>
        <w:t xml:space="preserve">FiT USD cinsinden → döviz riski minimal. Avrupa'nın aksine gerçek bir avantaj.</w:t>
      </w:r>
    </w:p>
    <w:p>
      <w:pPr>
        <w:pStyle w:val="ListParagraph"/>
        <w:numPr>
          <w:ilvl w:val="0"/>
          <w:numId w:val="6"/>
        </w:numPr>
        <w:spacing w:after="40" w:before="40"/>
      </w:pPr>
      <w:r>
        <w:rPr>
          <w:rFonts w:ascii="Arial" w:cs="Arial" w:eastAsia="Arial" w:hAnsi="Arial"/>
          <w:color w:val="1C1C1C"/>
          <w:sz w:val="22"/>
          <w:szCs w:val="22"/>
        </w:rPr>
        <w:t xml:space="preserve">49 yıl imtiyaz + 27 yıl gelir desteği — uzun vadeli yatırım için cazip.</w:t>
      </w:r>
    </w:p>
    <w:p>
      <w:pPr>
        <w:pStyle w:val="ListParagraph"/>
        <w:numPr>
          <w:ilvl w:val="0"/>
          <w:numId w:val="6"/>
        </w:numPr>
        <w:spacing w:after="40" w:before="40"/>
      </w:pPr>
      <w:r>
        <w:rPr>
          <w:rFonts w:ascii="Arial" w:cs="Arial" w:eastAsia="Arial" w:hAnsi="Arial"/>
          <w:color w:val="1C1C1C"/>
          <w:sz w:val="22"/>
          <w:szCs w:val="22"/>
        </w:rPr>
        <w:t xml:space="preserve">Erken devreye alma bonusu ($0.12/kWh) önemli teşvik.</w:t>
      </w:r>
    </w:p>
    <w:p>
      <w:pPr>
        <w:pStyle w:val="Heading2"/>
        <w:spacing w:after="160" w:before="280"/>
      </w:pPr>
      <w:r>
        <w:rPr>
          <w:rFonts w:ascii="Arial" w:cs="Arial" w:eastAsia="Arial" w:hAnsi="Arial"/>
          <w:b/>
          <w:bCs/>
          <w:color w:val="1C1C1C"/>
          <w:sz w:val="26"/>
          <w:szCs w:val="26"/>
        </w:rPr>
        <w:t xml:space="preserve">7.3 Çıkış Kapısı ve Riskler</w:t>
      </w:r>
    </w:p>
    <w:p>
      <w:pPr>
        <w:pStyle w:val="ListParagraph"/>
        <w:numPr>
          <w:ilvl w:val="0"/>
          <w:numId w:val="6"/>
        </w:numPr>
        <w:spacing w:after="40" w:before="40"/>
      </w:pPr>
      <w:r>
        <w:rPr>
          <w:rFonts w:ascii="Arial" w:cs="Arial" w:eastAsia="Arial" w:hAnsi="Arial"/>
          <w:color w:val="1C1C1C"/>
          <w:sz w:val="22"/>
          <w:szCs w:val="22"/>
        </w:rPr>
        <w:t xml:space="preserve">Kapasite faktörü %40'ın altında → projeden çekilebilirsiniz, ancak $250M teminat tehlikede.</w:t>
      </w:r>
    </w:p>
    <w:p>
      <w:pPr>
        <w:pStyle w:val="ListParagraph"/>
        <w:numPr>
          <w:ilvl w:val="0"/>
          <w:numId w:val="6"/>
        </w:numPr>
        <w:spacing w:after="40" w:before="40"/>
      </w:pPr>
      <w:r>
        <w:rPr>
          <w:rFonts w:ascii="Arial" w:cs="Arial" w:eastAsia="Arial" w:hAnsi="Arial"/>
          <w:color w:val="1C1C1C"/>
          <w:sz w:val="22"/>
          <w:szCs w:val="22"/>
        </w:rPr>
        <w:t xml:space="preserve">Marine EIA, askeri alanlar, navigasyon onayı, DSİ deniz alan tahsisi — her biri ayrı bürokrasi.</w:t>
      </w:r>
    </w:p>
    <w:p>
      <w:pPr>
        <w:pStyle w:val="ListParagraph"/>
        <w:numPr>
          <w:ilvl w:val="0"/>
          <w:numId w:val="6"/>
        </w:numPr>
        <w:spacing w:after="40" w:before="40"/>
      </w:pPr>
      <w:r>
        <w:rPr>
          <w:rFonts w:ascii="Arial" w:cs="Arial" w:eastAsia="Arial" w:hAnsi="Arial"/>
          <w:color w:val="1C1C1C"/>
          <w:sz w:val="22"/>
          <w:szCs w:val="22"/>
        </w:rPr>
        <w:t xml:space="preserve">Süper İzin Reformu onshore'da süreyi 4 yıldan 2 yıla indirdi; offshore'a nasıl uygulanacağı henüz net değil.</w:t>
      </w:r>
    </w:p>
    <w:p>
      <w:pPr>
        <w:pStyle w:val="Heading2"/>
        <w:spacing w:after="160" w:before="280"/>
      </w:pPr>
      <w:r>
        <w:rPr>
          <w:rFonts w:ascii="Arial" w:cs="Arial" w:eastAsia="Arial" w:hAnsi="Arial"/>
          <w:b/>
          <w:bCs/>
          <w:color w:val="1C1C1C"/>
          <w:sz w:val="26"/>
          <w:szCs w:val="26"/>
        </w:rPr>
        <w:t xml:space="preserve">7.4 Altyapı Eksiklikleri</w:t>
      </w:r>
    </w:p>
    <w:p>
      <w:pPr>
        <w:pStyle w:val="ListParagraph"/>
        <w:numPr>
          <w:ilvl w:val="0"/>
          <w:numId w:val="6"/>
        </w:numPr>
        <w:spacing w:after="40" w:before="40"/>
      </w:pPr>
      <w:r>
        <w:rPr>
          <w:rFonts w:ascii="Arial" w:cs="Arial" w:eastAsia="Arial" w:hAnsi="Arial"/>
          <w:color w:val="1C1C1C"/>
          <w:sz w:val="22"/>
          <w:szCs w:val="22"/>
        </w:rPr>
        <w:t xml:space="preserve">Türkiye'nin kurulum gemisi filosu yok; ilk projeler Avrupa operatörlerinden charter yapacak.</w:t>
      </w:r>
    </w:p>
    <w:p>
      <w:pPr>
        <w:pStyle w:val="ListParagraph"/>
        <w:numPr>
          <w:ilvl w:val="0"/>
          <w:numId w:val="6"/>
        </w:numPr>
        <w:spacing w:after="40" w:before="40"/>
      </w:pPr>
      <w:r>
        <w:rPr>
          <w:rFonts w:ascii="Arial" w:cs="Arial" w:eastAsia="Arial" w:hAnsi="Arial"/>
          <w:color w:val="1C1C1C"/>
          <w:sz w:val="22"/>
          <w:szCs w:val="22"/>
        </w:rPr>
        <w:t xml:space="preserve">Aliağa, Ambarlı, İskenderun büyük bileşenler için uygun limanlar.</w:t>
      </w:r>
    </w:p>
    <w:p>
      <w:pPr>
        <w:pStyle w:val="ListParagraph"/>
        <w:numPr>
          <w:ilvl w:val="0"/>
          <w:numId w:val="6"/>
        </w:numPr>
        <w:spacing w:after="40" w:before="40"/>
      </w:pPr>
      <w:r>
        <w:rPr>
          <w:rFonts w:ascii="Arial" w:cs="Arial" w:eastAsia="Arial" w:hAnsi="Arial"/>
          <w:color w:val="1C1C1C"/>
          <w:sz w:val="22"/>
          <w:szCs w:val="22"/>
        </w:rPr>
        <w:t xml:space="preserve">Konsorsiyum stratejisi en olası giriş yolu: Türk partner + uluslararası geliştirici + EPC yüklenici.</w:t>
      </w:r>
    </w:p>
    <w:p>
      <w:pPr>
        <w:pStyle w:val="Heading1"/>
        <w:spacing w:after="200" w:before="360"/>
      </w:pPr>
      <w:r>
        <w:rPr>
          <w:rFonts w:ascii="Arial" w:cs="Arial" w:eastAsia="Arial" w:hAnsi="Arial"/>
          <w:b/>
          <w:bCs/>
          <w:color w:val="1B4F72"/>
          <w:sz w:val="32"/>
          <w:szCs w:val="32"/>
        </w:rPr>
        <w:t xml:space="preserve">8. Pazar Büyüklüğü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Metrik</w:t>
            </w:r>
          </w:p>
        </w:tc>
        <w:tc>
          <w:tcPr>
            <w:tcW w:type="dxa" w:w="4860"/>
            <w:tcBorders>
              <w:top w:val="single" w:color="CCCCCC" w:sz="1"/>
              <w:left w:val="single" w:color="CCCCCC" w:sz="1"/>
              <w:bottom w:val="single" w:color="CCCCCC" w:sz="1"/>
              <w:right w:val="single" w:color="CCCCCC" w:sz="1"/>
            </w:tcBorders>
            <w:shd w:fill="1B4F72" w:val="clear"/>
            <w:vAlign w:val="center"/>
          </w:tcPr>
          <w:p>
            <w:pPr>
              <w:jc w:val="center"/>
            </w:pPr>
            <w:r>
              <w:rPr>
                <w:rFonts w:ascii="Arial" w:cs="Arial" w:eastAsia="Arial" w:hAnsi="Arial"/>
                <w:b/>
                <w:bCs/>
                <w:color w:val="FFFFFF"/>
                <w:sz w:val="20"/>
                <w:szCs w:val="20"/>
              </w:rPr>
              <w:t xml:space="preserve">Değer</w:t>
            </w:r>
          </w:p>
        </w:tc>
      </w:tr>
      <w:tr>
        <w:tc>
          <w:tcPr>
            <w:tcW w:type="dxa" w:w="4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Toplam teknik offshore potansiyel</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75 GW (Dünya Bankası)</w:t>
            </w:r>
          </w:p>
        </w:tc>
      </w:tr>
      <w:tr>
        <w:tc>
          <w:tcPr>
            <w:tcW w:type="dxa" w:w="45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Sabit temelli potansiyel</w:t>
            </w:r>
          </w:p>
        </w:tc>
        <w:tc>
          <w:tcPr>
            <w:tcW w:type="dxa" w:w="48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12 GW</w:t>
            </w:r>
          </w:p>
        </w:tc>
      </w:tr>
      <w:tr>
        <w:tc>
          <w:tcPr>
            <w:tcW w:type="dxa" w:w="4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Floating potansiyel</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63 GW</w:t>
            </w:r>
          </w:p>
        </w:tc>
      </w:tr>
      <w:tr>
        <w:tc>
          <w:tcPr>
            <w:tcW w:type="dxa" w:w="45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2035 hedefi</w:t>
            </w:r>
          </w:p>
        </w:tc>
        <w:tc>
          <w:tcPr>
            <w:tcW w:type="dxa" w:w="48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5 GW offshore</w:t>
            </w:r>
          </w:p>
        </w:tc>
      </w:tr>
      <w:tr>
        <w:tc>
          <w:tcPr>
            <w:tcW w:type="dxa" w:w="4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2040 potansiyel senaryosu</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7 GW (TÜREB/DURED)</w:t>
            </w:r>
          </w:p>
        </w:tc>
      </w:tr>
      <w:tr>
        <w:tc>
          <w:tcPr>
            <w:tcW w:type="dxa" w:w="45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Ekonomik değer tahmini</w:t>
            </w:r>
          </w:p>
        </w:tc>
        <w:tc>
          <w:tcPr>
            <w:tcW w:type="dxa" w:w="48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$16 Milyar</w:t>
            </w:r>
          </w:p>
        </w:tc>
      </w:tr>
      <w:tr>
        <w:tc>
          <w:tcPr>
            <w:tcW w:type="dxa" w:w="4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İstihdam potansiyeli</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~110,000 kişi</w:t>
            </w:r>
          </w:p>
        </w:tc>
      </w:tr>
      <w:tr>
        <w:tc>
          <w:tcPr>
            <w:tcW w:type="dxa" w:w="45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İletim yatırımı planı</w:t>
            </w:r>
          </w:p>
        </w:tc>
        <w:tc>
          <w:tcPr>
            <w:tcW w:type="dxa" w:w="48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$30 Milyar (2035'e kadar)</w:t>
            </w:r>
          </w:p>
        </w:tc>
      </w:tr>
      <w:tr>
        <w:tc>
          <w:tcPr>
            <w:tcW w:type="dxa" w:w="4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Mevcut onshore rüzgar</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15+ GW</w:t>
            </w:r>
          </w:p>
        </w:tc>
      </w:tr>
      <w:tr>
        <w:tc>
          <w:tcPr>
            <w:tcW w:type="dxa" w:w="45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Toplam kurulu güç</w:t>
            </w:r>
          </w:p>
        </w:tc>
        <w:tc>
          <w:tcPr>
            <w:tcW w:type="dxa" w:w="48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~112–125 GW</w:t>
            </w:r>
          </w:p>
        </w:tc>
      </w:tr>
      <w:tr>
        <w:tc>
          <w:tcPr>
            <w:tcW w:type="dxa" w:w="45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Offshore YEKDEM FiT</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color w:val="1C1C1C"/>
                <w:sz w:val="20"/>
                <w:szCs w:val="20"/>
              </w:rPr>
              <w:t xml:space="preserve">14.0 TL/kWh (10 yıl)</w:t>
            </w:r>
          </w:p>
        </w:tc>
      </w:tr>
      <w:tr>
        <w:tc>
          <w:tcPr>
            <w:tcW w:type="dxa" w:w="450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Yerli üretim teşviki</w:t>
            </w:r>
          </w:p>
        </w:tc>
        <w:tc>
          <w:tcPr>
            <w:tcW w:type="dxa" w:w="4860"/>
            <w:tcBorders>
              <w:top w:val="single" w:color="CCCCCC" w:sz="1"/>
              <w:left w:val="single" w:color="CCCCCC" w:sz="1"/>
              <w:bottom w:val="single" w:color="CCCCCC" w:sz="1"/>
              <w:right w:val="single" w:color="CCCCCC" w:sz="1"/>
            </w:tcBorders>
            <w:shd w:fill="F2F8FD" w:val="clear"/>
            <w:vAlign w:val="center"/>
          </w:tcPr>
          <w:p>
            <w:pPr>
              <w:spacing w:after="40" w:before="40"/>
              <w:jc w:val="left"/>
            </w:pPr>
            <w:r>
              <w:rPr>
                <w:rFonts w:ascii="Arial" w:cs="Arial" w:eastAsia="Arial" w:hAnsi="Arial"/>
                <w:b w:val="false"/>
                <w:bCs w:val="false"/>
                <w:color w:val="1C1C1C"/>
                <w:sz w:val="20"/>
                <w:szCs w:val="20"/>
              </w:rPr>
              <w:t xml:space="preserve">38.45 krş/kWh (5 yıl)</w:t>
            </w:r>
          </w:p>
        </w:tc>
      </w:tr>
    </w:tbl>
    <w:p>
      <w:pPr>
        <w:pStyle w:val="Heading1"/>
        <w:spacing w:after="200" w:before="360"/>
      </w:pPr>
      <w:r>
        <w:rPr>
          <w:rFonts w:ascii="Arial" w:cs="Arial" w:eastAsia="Arial" w:hAnsi="Arial"/>
          <w:b/>
          <w:bCs/>
          <w:color w:val="1B4F72"/>
          <w:sz w:val="32"/>
          <w:szCs w:val="32"/>
        </w:rPr>
        <w:t xml:space="preserve">9. Ek Bilgiler</w:t>
      </w:r>
    </w:p>
    <w:p>
      <w:pPr>
        <w:pStyle w:val="Heading2"/>
        <w:spacing w:after="160" w:before="280"/>
      </w:pPr>
      <w:r>
        <w:rPr>
          <w:rFonts w:ascii="Arial" w:cs="Arial" w:eastAsia="Arial" w:hAnsi="Arial"/>
          <w:b/>
          <w:bCs/>
          <w:color w:val="1C1C1C"/>
          <w:sz w:val="26"/>
          <w:szCs w:val="26"/>
        </w:rPr>
        <w:t xml:space="preserve">9.1 IPA MetOcean İhalesi</w:t>
      </w:r>
    </w:p>
    <w:p>
      <w:pPr>
        <w:spacing w:after="80" w:before="80"/>
        <w:jc w:val="left"/>
      </w:pPr>
      <w:r>
        <w:rPr>
          <w:rFonts w:ascii="Arial" w:cs="Arial" w:eastAsia="Arial" w:hAnsi="Arial"/>
          <w:b w:val="false"/>
          <w:bCs w:val="false"/>
          <w:i w:val="false"/>
          <w:iCs w:val="false"/>
          <w:color w:val="1C1C1C"/>
          <w:sz w:val="22"/>
          <w:szCs w:val="22"/>
        </w:rPr>
        <w:t xml:space="preserve">DURED raporuna göre Marmara Denizi'nde MetOcean ölçüm ihalesi için 3 şirket teklif verdi, süreç beklemede. Bu, Bakanlık'ın ölçüm çalışmalarının ihale öncesi devam ettiğini gösteriyor.</w:t>
      </w:r>
    </w:p>
    <w:p>
      <w:pPr>
        <w:pStyle w:val="Heading2"/>
        <w:spacing w:after="160" w:before="280"/>
      </w:pPr>
      <w:r>
        <w:rPr>
          <w:rFonts w:ascii="Arial" w:cs="Arial" w:eastAsia="Arial" w:hAnsi="Arial"/>
          <w:b/>
          <w:bCs/>
          <w:color w:val="1C1C1C"/>
          <w:sz w:val="26"/>
          <w:szCs w:val="26"/>
        </w:rPr>
        <w:t xml:space="preserve">9.2 DURED (Türkiye Offshore Rüzgar Enerjisi Derneği)</w:t>
      </w:r>
    </w:p>
    <w:p>
      <w:pPr>
        <w:spacing w:after="80" w:before="80"/>
        <w:jc w:val="left"/>
      </w:pPr>
      <w:r>
        <w:rPr>
          <w:rFonts w:ascii="Arial" w:cs="Arial" w:eastAsia="Arial" w:hAnsi="Arial"/>
          <w:b w:val="false"/>
          <w:bCs w:val="false"/>
          <w:i w:val="false"/>
          <w:iCs w:val="false"/>
          <w:color w:val="1C1C1C"/>
          <w:sz w:val="22"/>
          <w:szCs w:val="22"/>
        </w:rPr>
        <w:t xml:space="preserve">Dr. Murat Durak (murat.durak@dured.org) başkanlığında; sektör envanter raporu ve yol haritası yayımladı. 7 GW / 2040 senaryosu ve $16 Milyar ekonomik değer tahmini kaynağı.</w:t>
      </w:r>
    </w:p>
    <w:p>
      <w:pPr>
        <w:pStyle w:val="Heading2"/>
        <w:spacing w:after="160" w:before="280"/>
      </w:pPr>
      <w:r>
        <w:rPr>
          <w:rFonts w:ascii="Arial" w:cs="Arial" w:eastAsia="Arial" w:hAnsi="Arial"/>
          <w:b/>
          <w:bCs/>
          <w:color w:val="1C1C1C"/>
          <w:sz w:val="26"/>
          <w:szCs w:val="26"/>
        </w:rPr>
        <w:t xml:space="preserve">9.3 Süper İzin Reformu</w:t>
      </w:r>
    </w:p>
    <w:p>
      <w:pPr>
        <w:spacing w:after="80" w:before="80"/>
        <w:jc w:val="left"/>
      </w:pPr>
      <w:r>
        <w:rPr>
          <w:rFonts w:ascii="Arial" w:cs="Arial" w:eastAsia="Arial" w:hAnsi="Arial"/>
          <w:b w:val="false"/>
          <w:bCs w:val="false"/>
          <w:i w:val="false"/>
          <w:iCs w:val="false"/>
          <w:color w:val="1C1C1C"/>
          <w:sz w:val="22"/>
          <w:szCs w:val="22"/>
        </w:rPr>
        <w:t xml:space="preserve">2024 sonbaharından itibaren YEKA projeleri için onshore ruhsatlandırma süresi 4 yıldan 2 yıla düştü. Offshore'a nasıl uygulanacağı henüz net değil.</w:t>
      </w:r>
    </w:p>
    <w:p>
      <w:pPr>
        <w:pStyle w:val="Heading2"/>
        <w:spacing w:after="160" w:before="280"/>
      </w:pPr>
      <w:r>
        <w:rPr>
          <w:rFonts w:ascii="Arial" w:cs="Arial" w:eastAsia="Arial" w:hAnsi="Arial"/>
          <w:b/>
          <w:bCs/>
          <w:color w:val="1C1C1C"/>
          <w:sz w:val="26"/>
          <w:szCs w:val="26"/>
        </w:rPr>
        <w:t xml:space="preserve">9.4 Finansman Kaynakları</w:t>
      </w:r>
    </w:p>
    <w:p>
      <w:pPr>
        <w:pStyle w:val="ListParagraph"/>
        <w:numPr>
          <w:ilvl w:val="0"/>
          <w:numId w:val="7"/>
        </w:numPr>
        <w:spacing w:after="40" w:before="40"/>
      </w:pPr>
      <w:r>
        <w:rPr>
          <w:rFonts w:ascii="Arial" w:cs="Arial" w:eastAsia="Arial" w:hAnsi="Arial"/>
          <w:color w:val="1C1C1C"/>
          <w:sz w:val="22"/>
          <w:szCs w:val="22"/>
        </w:rPr>
        <w:t xml:space="preserve">EBRD ve EIB — Türk yenilenebilir projelerinde aktif; teknik yardım hibeleri ve proje finansmanı</w:t>
      </w:r>
    </w:p>
    <w:p>
      <w:pPr>
        <w:pStyle w:val="ListParagraph"/>
        <w:numPr>
          <w:ilvl w:val="0"/>
          <w:numId w:val="7"/>
        </w:numPr>
        <w:spacing w:after="40" w:before="40"/>
      </w:pPr>
      <w:r>
        <w:rPr>
          <w:rFonts w:ascii="Arial" w:cs="Arial" w:eastAsia="Arial" w:hAnsi="Arial"/>
          <w:color w:val="1C1C1C"/>
          <w:sz w:val="22"/>
          <w:szCs w:val="22"/>
        </w:rPr>
        <w:t xml:space="preserve">İslami Kalkınma Bankası (IsDB) — GCC sermayesi için doğal kanal</w:t>
      </w:r>
    </w:p>
    <w:p>
      <w:pPr>
        <w:pStyle w:val="ListParagraph"/>
        <w:numPr>
          <w:ilvl w:val="0"/>
          <w:numId w:val="7"/>
        </w:numPr>
        <w:spacing w:after="40" w:before="40"/>
      </w:pPr>
      <w:r>
        <w:rPr>
          <w:rFonts w:ascii="Arial" w:cs="Arial" w:eastAsia="Arial" w:hAnsi="Arial"/>
          <w:color w:val="1C1C1C"/>
          <w:sz w:val="22"/>
          <w:szCs w:val="22"/>
        </w:rPr>
        <w:t xml:space="preserve">Yeşil ve Sürdürülebilirlik Bağlı Bonolar — Türk ve uluslararası bankalarca artan kullanım</w:t>
      </w:r>
    </w:p>
    <w:p>
      <w:pPr>
        <w:pStyle w:val="ListParagraph"/>
        <w:numPr>
          <w:ilvl w:val="0"/>
          <w:numId w:val="7"/>
        </w:numPr>
        <w:spacing w:after="40" w:before="40"/>
      </w:pPr>
      <w:r>
        <w:rPr>
          <w:rFonts w:ascii="Arial" w:cs="Arial" w:eastAsia="Arial" w:hAnsi="Arial"/>
          <w:color w:val="1C1C1C"/>
          <w:sz w:val="22"/>
          <w:szCs w:val="22"/>
        </w:rPr>
        <w:t xml:space="preserve">MIGA ve DFC — Siyasi risk sigortası ve ABD kalkınma finansmanı</w:t>
      </w:r>
    </w:p>
    <w:p>
      <w:pPr>
        <w:pStyle w:val="Heading2"/>
        <w:spacing w:after="160" w:before="280"/>
      </w:pPr>
      <w:r>
        <w:rPr>
          <w:rFonts w:ascii="Arial" w:cs="Arial" w:eastAsia="Arial" w:hAnsi="Arial"/>
          <w:b/>
          <w:bCs/>
          <w:color w:val="1C1C1C"/>
          <w:sz w:val="26"/>
          <w:szCs w:val="26"/>
        </w:rPr>
        <w:t xml:space="preserve">9.5 Önceki YEKA Deneyimi</w:t>
      </w:r>
    </w:p>
    <w:p>
      <w:pPr>
        <w:spacing w:after="80" w:before="80"/>
        <w:jc w:val="left"/>
      </w:pPr>
      <w:r>
        <w:rPr>
          <w:rFonts w:ascii="Arial" w:cs="Arial" w:eastAsia="Arial" w:hAnsi="Arial"/>
          <w:b w:val="false"/>
          <w:bCs w:val="false"/>
          <w:i w:val="false"/>
          <w:iCs w:val="false"/>
          <w:color w:val="1C1C1C"/>
          <w:sz w:val="22"/>
          <w:szCs w:val="22"/>
        </w:rPr>
        <w:t xml:space="preserve">Türkiye 2016'dan bu yana YEKA modelini kullanıyor: 5.8 GW tahsis edildi (3 GW güneş, 2.8 GW rüzgar). Toplam yatırım beklentisi ~$3.3 Milyar (2024-2025 ihaleleri). YEKA modeli denenmiş ve geliştirilmiş bir çerçeve.</w:t>
      </w:r>
    </w:p>
    <w:p>
      <w:pPr>
        <w:pStyle w:val="Heading1"/>
        <w:spacing w:after="200" w:before="360"/>
      </w:pPr>
      <w:r>
        <w:rPr>
          <w:rFonts w:ascii="Arial" w:cs="Arial" w:eastAsia="Arial" w:hAnsi="Arial"/>
          <w:b/>
          <w:bCs/>
          <w:color w:val="1B4F72"/>
          <w:sz w:val="32"/>
          <w:szCs w:val="32"/>
        </w:rPr>
        <w:t xml:space="preserve">10. Sonuç</w:t>
      </w:r>
    </w:p>
    <w:p>
      <w:pPr>
        <w:spacing w:after="80" w:before="80"/>
        <w:jc w:val="left"/>
      </w:pPr>
      <w:r>
        <w:rPr>
          <w:rFonts w:ascii="Arial" w:cs="Arial" w:eastAsia="Arial" w:hAnsi="Arial"/>
          <w:b w:val="false"/>
          <w:bCs w:val="false"/>
          <w:i w:val="false"/>
          <w:iCs w:val="false"/>
          <w:color w:val="1C1C1C"/>
          <w:sz w:val="22"/>
          <w:szCs w:val="22"/>
        </w:rPr>
        <w:t xml:space="preserve">Bu ihale Türkiye'nin offshore rüzgara girişinin ilk ciddi adımıdır. Taslak şartname yayımlandı, 17 Ağustos'a kadar görüş alınacak, ardından kesin şartname ve ihale tarihi belirlenecek.</w:t>
      </w:r>
    </w:p>
    <w:p>
      <w:pPr>
        <w:spacing w:after="80" w:before="80"/>
        <w:jc w:val="left"/>
      </w:pPr>
      <w:r>
        <w:rPr>
          <w:rFonts w:ascii="Arial" w:cs="Arial" w:eastAsia="Arial" w:hAnsi="Arial"/>
          <w:b w:val="false"/>
          <w:bCs w:val="false"/>
          <w:i w:val="false"/>
          <w:iCs w:val="false"/>
          <w:color w:val="1C1C1C"/>
          <w:sz w:val="22"/>
          <w:szCs w:val="22"/>
        </w:rPr>
        <w:t xml:space="preserve">Şu anda ön pozisyonlanma aşamasında:</w:t>
      </w:r>
    </w:p>
    <w:p>
      <w:pPr>
        <w:pStyle w:val="ListParagraph"/>
        <w:numPr>
          <w:ilvl w:val="0"/>
          <w:numId w:val="2"/>
        </w:numPr>
        <w:spacing w:after="40" w:before="40"/>
      </w:pPr>
      <w:r>
        <w:rPr>
          <w:rFonts w:ascii="Arial" w:cs="Arial" w:eastAsia="Arial" w:hAnsi="Arial"/>
          <w:color w:val="1C1C1C"/>
          <w:sz w:val="22"/>
          <w:szCs w:val="22"/>
        </w:rPr>
        <w:t xml:space="preserve">Rönesans Holding açıkça talip olduğunu duyuran tek şirket — TotalEnergies, Ballast Nedam, Nordex ile güçlü ekosistem</w:t>
      </w:r>
    </w:p>
    <w:p>
      <w:pPr>
        <w:pStyle w:val="ListParagraph"/>
        <w:numPr>
          <w:ilvl w:val="0"/>
          <w:numId w:val="2"/>
        </w:numPr>
        <w:spacing w:after="40" w:before="40"/>
      </w:pPr>
      <w:r>
        <w:rPr>
          <w:rFonts w:ascii="Arial" w:cs="Arial" w:eastAsia="Arial" w:hAnsi="Arial"/>
          <w:color w:val="1C1C1C"/>
          <w:sz w:val="22"/>
          <w:szCs w:val="22"/>
        </w:rPr>
        <w:t xml:space="preserve">Konsorsiyum stratejisi en olası giriş yolu</w:t>
      </w:r>
    </w:p>
    <w:p>
      <w:pPr>
        <w:pStyle w:val="ListParagraph"/>
        <w:numPr>
          <w:ilvl w:val="0"/>
          <w:numId w:val="2"/>
        </w:numPr>
        <w:spacing w:after="40" w:before="40"/>
      </w:pPr>
      <w:r>
        <w:rPr>
          <w:rFonts w:ascii="Arial" w:cs="Arial" w:eastAsia="Arial" w:hAnsi="Arial"/>
          <w:color w:val="1C1C1C"/>
          <w:sz w:val="22"/>
          <w:szCs w:val="22"/>
        </w:rPr>
        <w:t xml:space="preserve">Türk partner bulma, yerli katkı stratejisi ve regülatif izleme kritik</w:t>
      </w:r>
    </w:p>
    <w:p>
      <w:pPr>
        <w:pStyle w:val="ListParagraph"/>
        <w:numPr>
          <w:ilvl w:val="0"/>
          <w:numId w:val="2"/>
        </w:numPr>
        <w:spacing w:after="40" w:before="40"/>
      </w:pPr>
      <w:r>
        <w:rPr>
          <w:rFonts w:ascii="Arial" w:cs="Arial" w:eastAsia="Arial" w:hAnsi="Arial"/>
          <w:color w:val="1C1C1C"/>
          <w:sz w:val="22"/>
          <w:szCs w:val="22"/>
        </w:rPr>
        <w:t xml:space="preserve">İlk projelerin ~2030 civarında devreye girmesi bekleniyor</w:t>
      </w:r>
    </w:p>
    <w:p>
      <w:pPr>
        <w:spacing w:after="80" w:before="80"/>
        <w:jc w:val="left"/>
      </w:pPr>
      <w:r>
        <w:rPr>
          <w:rFonts w:ascii="Arial" w:cs="Arial" w:eastAsia="Arial" w:hAnsi="Arial"/>
          <w:b w:val="false"/>
          <w:bCs w:val="false"/>
          <w:i w:val="false"/>
          <w:iCs w:val="false"/>
          <w:color w:val="1C1C1C"/>
          <w:sz w:val="22"/>
          <w:szCs w:val="22"/>
        </w:rPr>
        <w:t xml:space="preserve"/>
      </w:r>
    </w:p>
    <w:p>
      <w:pPr>
        <w:spacing w:after="80" w:before="80"/>
        <w:jc w:val="left"/>
      </w:pPr>
      <w:r>
        <w:rPr>
          <w:rFonts w:ascii="Arial" w:cs="Arial" w:eastAsia="Arial" w:hAnsi="Arial"/>
          <w:b w:val="false"/>
          <w:bCs w:val="false"/>
          <w:i/>
          <w:iCs/>
          <w:color w:val="666666"/>
          <w:sz w:val="22"/>
          <w:szCs w:val="22"/>
        </w:rPr>
        <w:t xml:space="preserve">Kaynaklar: Rönesans Holding, CNBC-e, TÜREB, DURED, Enerji ve Tabii Kaynaklar Bakanlığı, OffshoreWIND.biz, Splash247, Intercon, World Bank, EnergyMagz, TGS4C, Maritime Executive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Sayfa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YEKA OWPP-2026 | OSINT Raporu | Temmuz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B4F72"/>
      <w:sz w:val="32"/>
      <w:szCs w:val="32"/>
    </w:rPr>
  </w:style>
  <w:style w:type="paragraph" w:styleId="Heading2">
    <w:name w:val="Heading 2"/>
    <w:basedOn w:val="Normal"/>
    <w:next w:val="Normal"/>
    <w:qFormat/>
    <w:pPr>
      <w:spacing w:after="160" w:before="280"/>
    </w:pPr>
    <w:rPr>
      <w:rFonts w:ascii="Arial" w:cs="Arial" w:eastAsia="Arial" w:hAnsi="Arial"/>
      <w:b/>
      <w:bCs/>
      <w:color w:val="1C1C1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2026-07-01T12:07:08.081Z</dcterms:created>
  <dcterms:modified xsi:type="dcterms:W3CDTF">2026-07-01T12:07:08.082Z</dcterms:modified>
</cp:coreProperties>
</file>

<file path=docProps/custom.xml><?xml version="1.0" encoding="utf-8"?>
<Properties xmlns="http://schemas.openxmlformats.org/officeDocument/2006/custom-properties" xmlns:vt="http://schemas.openxmlformats.org/officeDocument/2006/docPropsVTypes"/>
</file>