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C3E50"/>
          <w:sz w:val="56"/>
          <w:szCs w:val="56"/>
        </w:rPr>
        <w:t xml:space="preserve">STAVAGENT</w:t>
      </w:r>
    </w:p>
    <w:p>
      <w:pPr>
        <w:spacing w:after="100"/>
        <w:jc w:val="center"/>
      </w:pPr>
      <w:r>
        <w:rPr>
          <w:rFonts w:ascii="Arial" w:cs="Arial" w:eastAsia="Arial" w:hAnsi="Arial"/>
          <w:color w:val="2980B9"/>
          <w:sz w:val="36"/>
          <w:szCs w:val="36"/>
        </w:rPr>
        <w:t xml:space="preserve">Unified Data Architecture</w:t>
      </w:r>
    </w:p>
    <w:p>
      <w:pPr>
        <w:pBdr>
          <w:bottom w:val="single" w:color="2980B9" w:sz="3"/>
        </w:pBdr>
        <w:spacing w:after="600"/>
        <w:jc w:val="center"/>
      </w:pPr>
      <w:r>
        <w:rPr>
          <w:rFonts w:ascii="Arial" w:cs="Arial" w:eastAsia="Arial" w:hAnsi="Arial"/>
          <w:color w:val="7F8C8D"/>
          <w:sz w:val="24"/>
          <w:szCs w:val="24"/>
        </w:rPr>
        <w:t xml:space="preserve">Technical Task &amp; Implementation Plan</w:t>
      </w: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Project: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STAVAGENT Platform</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Scope: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Project Registry + Kiosk Unification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Target: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10-15 users (construction firms CZ/SK)</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Version: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1.0 (February 2026)</w:t>
            </w:r>
          </w:p>
        </w:tc>
      </w:tr>
    </w:tbl>
    <w:p>
      <w:r>
        <w:br w:type="page"/>
      </w:r>
    </w:p>
    <w:p>
      <w:pPr>
        <w:pStyle w:val="Heading1"/>
        <w:spacing w:after="120" w:before="360"/>
      </w:pPr>
      <w:r>
        <w:rPr>
          <w:rFonts w:ascii="Arial" w:cs="Arial" w:eastAsia="Arial" w:hAnsi="Arial"/>
        </w:rPr>
        <w:t xml:space="preserve">1. Problem Statement</w:t>
      </w:r>
    </w:p>
    <w:p>
      <w:pPr>
        <w:spacing w:after="80" w:before="80"/>
      </w:pPr>
      <w:r>
        <w:rPr>
          <w:rFonts w:ascii="Arial" w:cs="Arial" w:eastAsia="Arial" w:hAnsi="Arial"/>
          <w:color w:val="333333"/>
          <w:sz w:val="22"/>
          <w:szCs w:val="22"/>
        </w:rPr>
        <w:t xml:space="preserve">The STAVAGENT ecosystem currently consists of several independent kiosks (Rozpocet Registry, Monolit Planner, DOV calculator) that each work with construction estimate files (Excel/XML) independently. This creates a fundamental data integrity problem: multiple tools consume the same source file but maintain separate copies, leading to data conflicts, manual transfers between tools, and inconsistent results across kiosks.</w:t>
      </w:r>
    </w:p>
    <w:p>
      <w:pPr>
        <w:spacing w:after="80" w:before="200"/>
      </w:pPr>
      <w:r>
        <w:rPr>
          <w:rFonts w:ascii="Arial" w:cs="Arial" w:eastAsia="Arial" w:hAnsi="Arial"/>
          <w:b/>
          <w:bCs/>
          <w:color w:val="333333"/>
          <w:sz w:val="22"/>
          <w:szCs w:val="22"/>
        </w:rPr>
        <w:t xml:space="preserve">Core issues to resolve:</w:t>
      </w:r>
    </w:p>
    <w:p>
      <w:pPr>
        <w:pStyle w:val="ListParagraph"/>
        <w:numPr>
          <w:ilvl w:val="0"/>
          <w:numId w:val="2"/>
        </w:numPr>
        <w:spacing w:after="40" w:before="40"/>
      </w:pPr>
      <w:r>
        <w:rPr>
          <w:rFonts w:ascii="Arial" w:cs="Arial" w:eastAsia="Arial" w:hAnsi="Arial"/>
          <w:sz w:val="20"/>
          <w:szCs w:val="20"/>
        </w:rPr>
        <w:t xml:space="preserve">Each kiosk imports and stores its own copy of the Excel file</w:t>
      </w:r>
    </w:p>
    <w:p>
      <w:pPr>
        <w:pStyle w:val="ListParagraph"/>
        <w:numPr>
          <w:ilvl w:val="0"/>
          <w:numId w:val="2"/>
        </w:numPr>
        <w:spacing w:after="40" w:before="40"/>
      </w:pPr>
      <w:r>
        <w:rPr>
          <w:rFonts w:ascii="Arial" w:cs="Arial" w:eastAsia="Arial" w:hAnsi="Arial"/>
          <w:sz w:val="20"/>
          <w:szCs w:val="20"/>
        </w:rPr>
        <w:t xml:space="preserve">No shared identifier links a position across kiosks</w:t>
      </w:r>
    </w:p>
    <w:p>
      <w:pPr>
        <w:pStyle w:val="ListParagraph"/>
        <w:numPr>
          <w:ilvl w:val="0"/>
          <w:numId w:val="2"/>
        </w:numPr>
        <w:spacing w:after="40" w:before="40"/>
      </w:pPr>
      <w:r>
        <w:rPr>
          <w:rFonts w:ascii="Arial" w:cs="Arial" w:eastAsia="Arial" w:hAnsi="Arial"/>
          <w:sz w:val="20"/>
          <w:szCs w:val="20"/>
        </w:rPr>
        <w:t xml:space="preserve">Results calculated in Monolit Planner cannot flow back to Rozpocet Registry</w:t>
      </w:r>
    </w:p>
    <w:p>
      <w:pPr>
        <w:pStyle w:val="ListParagraph"/>
        <w:numPr>
          <w:ilvl w:val="0"/>
          <w:numId w:val="2"/>
        </w:numPr>
        <w:spacing w:after="40" w:before="40"/>
      </w:pPr>
      <w:r>
        <w:rPr>
          <w:rFonts w:ascii="Arial" w:cs="Arial" w:eastAsia="Arial" w:hAnsi="Arial"/>
          <w:sz w:val="20"/>
          <w:szCs w:val="20"/>
        </w:rPr>
        <w:t xml:space="preserve">Same catalog code (URS/OTSKP/RTS) can appear on multiple sheets for different objects</w:t>
      </w:r>
    </w:p>
    <w:p>
      <w:pPr>
        <w:pStyle w:val="ListParagraph"/>
        <w:numPr>
          <w:ilvl w:val="0"/>
          <w:numId w:val="2"/>
        </w:numPr>
        <w:spacing w:after="40" w:before="40"/>
      </w:pPr>
      <w:r>
        <w:rPr>
          <w:rFonts w:ascii="Arial" w:cs="Arial" w:eastAsia="Arial" w:hAnsi="Arial"/>
          <w:sz w:val="20"/>
          <w:szCs w:val="20"/>
        </w:rPr>
        <w:t xml:space="preserve">No mechanism to reuse calculations for identical position types across objects</w:t>
      </w:r>
    </w:p>
    <w:p>
      <w:pPr>
        <w:pStyle w:val="ListParagraph"/>
        <w:numPr>
          <w:ilvl w:val="0"/>
          <w:numId w:val="2"/>
        </w:numPr>
        <w:spacing w:after="40" w:before="40"/>
      </w:pPr>
      <w:r>
        <w:rPr>
          <w:rFonts w:ascii="Arial" w:cs="Arial" w:eastAsia="Arial" w:hAnsi="Arial"/>
          <w:sz w:val="20"/>
          <w:szCs w:val="20"/>
        </w:rPr>
        <w:t xml:space="preserve">Vocabulary mismatch: activities (bedneni, betonaz) vs roles (tesar, zelezar) are not mapped</w:t>
      </w:r>
    </w:p>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2. Target Architecture: Single Source of Truth</w:t>
      </w:r>
    </w:p>
    <w:p>
      <w:pPr>
        <w:spacing w:after="80" w:before="80"/>
      </w:pPr>
      <w:r>
        <w:rPr>
          <w:rFonts w:ascii="Arial" w:cs="Arial" w:eastAsia="Arial" w:hAnsi="Arial"/>
          <w:color w:val="333333"/>
          <w:sz w:val="22"/>
          <w:szCs w:val="22"/>
        </w:rPr>
        <w:t xml:space="preserve">The solution requires one canonical database where all kiosks read from and write back to. The Project Registry becomes the hub, and kiosks become spokes that operate on shared data through position_instance_id references.</w:t>
      </w:r>
    </w:p>
    <w:p>
      <w:pPr>
        <w:pStyle w:val="Heading2"/>
        <w:spacing w:after="120" w:before="240"/>
      </w:pPr>
      <w:r>
        <w:rPr>
          <w:rFonts w:ascii="Arial" w:cs="Arial" w:eastAsia="Arial" w:hAnsi="Arial"/>
        </w:rPr>
        <w:t xml:space="preserve">2.1 Architecture Principle</w:t>
      </w:r>
    </w:p>
    <w:p>
      <w:pPr>
        <w:spacing w:after="80" w:before="80"/>
      </w:pPr>
      <w:r>
        <w:rPr>
          <w:rFonts w:ascii="Arial" w:cs="Arial" w:eastAsia="Arial" w:hAnsi="Arial"/>
          <w:color w:val="333333"/>
          <w:sz w:val="22"/>
          <w:szCs w:val="22"/>
        </w:rPr>
        <w:t xml:space="preserve">Every file upload, regardless of which kiosk initiates it, always creates or binds to a Project and FileVersion in the central registry. Users can upload from any kiosk UI, but under the hood, the flow is always: create/select Project, create FileVersion, parse into PositionInstances, then the kiosk works with those instances.</w:t>
      </w:r>
    </w:p>
    <w:p>
      <w:pPr>
        <w:pStyle w:val="Heading2"/>
        <w:spacing w:after="120" w:before="240"/>
      </w:pPr>
      <w:r>
        <w:rPr>
          <w:rFonts w:ascii="Arial" w:cs="Arial" w:eastAsia="Arial" w:hAnsi="Arial"/>
        </w:rPr>
        <w:t xml:space="preserve">2.2 Hierarchy Model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6"/>
      </w:tblGrid>
      <w:tr>
        <w:tc>
          <w:tcPr>
            <w:tcW w:type="dxa" w:w="2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2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Entity</w:t>
            </w:r>
          </w:p>
        </w:tc>
        <w:tc>
          <w:tcPr>
            <w:tcW w:type="dxa" w:w="490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2C3E50"/>
                <w:sz w:val="20"/>
                <w:szCs w:val="20"/>
              </w:rPr>
              <w:t xml:space="preserve">Project</w:t>
            </w:r>
          </w:p>
        </w:tc>
        <w:tc>
          <w:tcPr>
            <w:tcW w:type="dxa" w:w="4906"/>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Entire construction project (e.g. highway D1 section)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Object (Sheet)</w:t>
            </w:r>
          </w:p>
        </w:tc>
        <w:tc>
          <w:tcPr>
            <w:tcW w:type="dxa" w:w="490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Physical structure = Excel sheet (bridge, retaining wall, culvert)</w:t>
            </w:r>
          </w:p>
        </w:tc>
      </w:tr>
      <w:tr>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2C3E50"/>
                <w:sz w:val="20"/>
                <w:szCs w:val="20"/>
              </w:rPr>
              <w:t xml:space="preserve">Section</w:t>
            </w:r>
          </w:p>
        </w:tc>
        <w:tc>
          <w:tcPr>
            <w:tcW w:type="dxa" w:w="4906"/>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Heading/group within a sheet (optional hierarchy)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4</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Position Instance</w:t>
            </w:r>
          </w:p>
        </w:tc>
        <w:tc>
          <w:tcPr>
            <w:tcW w:type="dxa" w:w="490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Concrete line item in a specific sheet with unique instance ID</w:t>
            </w:r>
          </w:p>
        </w:tc>
      </w:tr>
      <w:tr>
        <w:tc>
          <w:tcPr>
            <w:tcW w:type="dxa" w:w="2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24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2C3E50"/>
                <w:sz w:val="20"/>
                <w:szCs w:val="20"/>
              </w:rPr>
              <w:t xml:space="preserve">Template</w:t>
            </w:r>
          </w:p>
        </w:tc>
        <w:tc>
          <w:tcPr>
            <w:tcW w:type="dxa" w:w="4906"/>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Reusable calculation pattern for identical position types</w:t>
            </w:r>
          </w:p>
        </w:tc>
      </w:tr>
    </w:tbl>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3. Data Model Specification</w:t>
      </w:r>
    </w:p>
    <w:p>
      <w:pPr>
        <w:pStyle w:val="Heading2"/>
        <w:spacing w:after="120" w:before="240"/>
      </w:pPr>
      <w:r>
        <w:rPr>
          <w:rFonts w:ascii="Arial" w:cs="Arial" w:eastAsia="Arial" w:hAnsi="Arial"/>
        </w:rPr>
        <w:t xml:space="preserve">3.1 Two-Layer Identity System</w:t>
      </w:r>
    </w:p>
    <w:p>
      <w:pPr>
        <w:spacing w:after="80" w:before="80"/>
      </w:pPr>
      <w:r>
        <w:rPr>
          <w:rFonts w:ascii="Arial" w:cs="Arial" w:eastAsia="Arial" w:hAnsi="Arial"/>
          <w:color w:val="333333"/>
          <w:sz w:val="22"/>
          <w:szCs w:val="22"/>
        </w:rPr>
        <w:t xml:space="preserve">The critical insight: catalog codes (URS/OTSKP/RTS) are NOT unique position identifiers. The same code can appear on multiple sheets for different objects. Therefore, two separate identity layers are required.</w:t>
      </w:r>
    </w:p>
    <w:p>
      <w:pPr>
        <w:pStyle w:val="Heading3"/>
        <w:spacing w:after="120" w:before="240"/>
      </w:pPr>
      <w:r>
        <w:rPr>
          <w:rFonts w:ascii="Arial" w:cs="Arial" w:eastAsia="Arial" w:hAnsi="Arial"/>
        </w:rPr>
        <w:t xml:space="preserve">3.1.1 Instance ID (Unique Per Line)</w:t>
      </w:r>
    </w:p>
    <w:p>
      <w:pPr>
        <w:spacing w:after="80" w:before="80"/>
      </w:pPr>
      <w:r>
        <w:rPr>
          <w:rFonts w:ascii="Arial" w:cs="Arial" w:eastAsia="Arial" w:hAnsi="Arial"/>
          <w:color w:val="333333"/>
          <w:sz w:val="22"/>
          <w:szCs w:val="22"/>
        </w:rPr>
        <w:t xml:space="preserve">Every line item in every sheet gets a unique position_instance_id (UUID). This is the primary key for all kiosk operations and cross-references.</w:t>
      </w:r>
    </w:p>
    <w:p>
      <w:pPr>
        <w:spacing w:after="80" w:before="80"/>
      </w:pPr>
      <w:r>
        <w:rPr>
          <w:rFonts w:ascii="Arial" w:cs="Arial" w:eastAsia="Arial" w:hAnsi="Arial"/>
          <w:b/>
          <w:bCs/>
          <w:color w:val="333333"/>
          <w:sz w:val="22"/>
          <w:szCs w:val="22"/>
        </w:rPr>
        <w:t xml:space="preserve">Composition of stable identity:</w:t>
      </w:r>
    </w:p>
    <w:p>
      <w:pPr>
        <w:pStyle w:val="ListParagraph"/>
        <w:numPr>
          <w:ilvl w:val="0"/>
          <w:numId w:val="2"/>
        </w:numPr>
        <w:spacing w:after="40" w:before="40"/>
      </w:pPr>
      <w:r>
        <w:rPr>
          <w:rFonts w:ascii="Arial" w:cs="Arial" w:eastAsia="Arial" w:hAnsi="Arial"/>
          <w:sz w:val="20"/>
          <w:szCs w:val="20"/>
        </w:rPr>
        <w:t xml:space="preserve">project_id + object_id + sheet_name + sheet_index + position_no + row_index</w:t>
      </w:r>
    </w:p>
    <w:p>
      <w:pPr>
        <w:pStyle w:val="ListParagraph"/>
        <w:numPr>
          <w:ilvl w:val="0"/>
          <w:numId w:val="2"/>
        </w:numPr>
        <w:spacing w:after="40" w:before="40"/>
      </w:pPr>
      <w:r>
        <w:rPr>
          <w:rFonts w:ascii="Arial" w:cs="Arial" w:eastAsia="Arial" w:hAnsi="Arial"/>
          <w:sz w:val="20"/>
          <w:szCs w:val="20"/>
        </w:rPr>
        <w:t xml:space="preserve">catalog_code, description, unit, qty as semantic fields</w:t>
      </w:r>
    </w:p>
    <w:p>
      <w:pPr>
        <w:pStyle w:val="ListParagraph"/>
        <w:numPr>
          <w:ilvl w:val="0"/>
          <w:numId w:val="2"/>
        </w:numPr>
        <w:spacing w:after="40" w:before="40"/>
      </w:pPr>
      <w:r>
        <w:rPr>
          <w:rFonts w:ascii="Arial" w:cs="Arial" w:eastAsia="Arial" w:hAnsi="Arial"/>
          <w:sz w:val="20"/>
          <w:szCs w:val="20"/>
        </w:rPr>
        <w:t xml:space="preserve">Internal UUID generated on first parse, never changes</w:t>
      </w:r>
    </w:p>
    <w:p>
      <w:pPr>
        <w:pStyle w:val="Heading3"/>
        <w:spacing w:after="120" w:before="240"/>
      </w:pPr>
      <w:r>
        <w:rPr>
          <w:rFonts w:ascii="Arial" w:cs="Arial" w:eastAsia="Arial" w:hAnsi="Arial"/>
        </w:rPr>
        <w:t xml:space="preserve">3.1.2 Template ID (Reusable Pattern)</w:t>
      </w:r>
    </w:p>
    <w:p>
      <w:pPr>
        <w:spacing w:after="80" w:before="80"/>
      </w:pPr>
      <w:r>
        <w:rPr>
          <w:rFonts w:ascii="Arial" w:cs="Arial" w:eastAsia="Arial" w:hAnsi="Arial"/>
          <w:color w:val="333333"/>
          <w:sz w:val="22"/>
          <w:szCs w:val="22"/>
        </w:rPr>
        <w:t xml:space="preserve">Separate from instances. Represents how a type of work is typically broken down. Not tied to any specific sheet.</w:t>
      </w:r>
    </w:p>
    <w:p>
      <w:pPr>
        <w:spacing w:after="80" w:before="80"/>
      </w:pPr>
      <w:r>
        <w:rPr>
          <w:rFonts w:ascii="Arial" w:cs="Arial" w:eastAsia="Arial" w:hAnsi="Arial"/>
          <w:b/>
          <w:bCs/>
          <w:color w:val="333333"/>
          <w:sz w:val="22"/>
          <w:szCs w:val="22"/>
        </w:rPr>
        <w:t xml:space="preserve">Template key composition:</w:t>
      </w:r>
    </w:p>
    <w:p>
      <w:pPr>
        <w:pStyle w:val="ListParagraph"/>
        <w:numPr>
          <w:ilvl w:val="0"/>
          <w:numId w:val="2"/>
        </w:numPr>
        <w:spacing w:after="40" w:before="40"/>
      </w:pPr>
      <w:r>
        <w:rPr>
          <w:rFonts w:ascii="Arial" w:cs="Arial" w:eastAsia="Arial" w:hAnsi="Arial"/>
          <w:sz w:val="20"/>
          <w:szCs w:val="20"/>
        </w:rPr>
        <w:t xml:space="preserve">catalog_code + unit + normalized_description + work_category</w:t>
      </w:r>
    </w:p>
    <w:p>
      <w:pPr>
        <w:pStyle w:val="ListParagraph"/>
        <w:numPr>
          <w:ilvl w:val="0"/>
          <w:numId w:val="2"/>
        </w:numPr>
        <w:spacing w:after="40" w:before="40"/>
      </w:pPr>
      <w:r>
        <w:rPr>
          <w:rFonts w:ascii="Arial" w:cs="Arial" w:eastAsia="Arial" w:hAnsi="Arial"/>
          <w:sz w:val="20"/>
          <w:szCs w:val="20"/>
        </w:rPr>
        <w:t xml:space="preserve">Template can be auto-matched or manually linked</w:t>
      </w:r>
    </w:p>
    <w:p>
      <w:pPr>
        <w:pStyle w:val="ListParagraph"/>
        <w:numPr>
          <w:ilvl w:val="0"/>
          <w:numId w:val="2"/>
        </w:numPr>
        <w:spacing w:after="40" w:before="40"/>
      </w:pPr>
      <w:r>
        <w:rPr>
          <w:rFonts w:ascii="Arial" w:cs="Arial" w:eastAsia="Arial" w:hAnsi="Arial"/>
          <w:sz w:val="20"/>
          <w:szCs w:val="20"/>
        </w:rPr>
        <w:t xml:space="preserve">Confidence scoring: GREEN (exact match) / AMBER (partial) / RED (manual review)</w:t>
      </w:r>
    </w:p>
    <w:p>
      <w:pPr>
        <w:pStyle w:val="Heading2"/>
        <w:spacing w:after="120" w:before="240"/>
      </w:pPr>
      <w:r>
        <w:rPr>
          <w:rFonts w:ascii="Arial" w:cs="Arial" w:eastAsia="Arial" w:hAnsi="Arial"/>
        </w:rPr>
        <w:t xml:space="preserve">3.2 Core Entities</w:t>
      </w:r>
    </w:p>
    <w:p>
      <w:pPr>
        <w:spacing w:after="80" w:before="200"/>
      </w:pPr>
      <w:r>
        <w:rPr>
          <w:rFonts w:ascii="Arial" w:cs="Arial" w:eastAsia="Arial" w:hAnsi="Arial"/>
          <w:b/>
          <w:bCs/>
          <w:color w:val="2980B9"/>
          <w:sz w:val="22"/>
          <w:szCs w:val="22"/>
        </w:rPr>
        <w:t xml:space="preserve">PositionInstance (core entity):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6"/>
      </w:tblGrid>
      <w:tr>
        <w:tc>
          <w:tcPr>
            <w:tcW w:type="dxa" w:w="2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0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position_instance_id</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UUID (PK)</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Unique identifier, generated on parse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project_id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UUID (FK)</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Parent project reference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object_id</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UUID (FK)</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Object (sheet/structure) reference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sheet_name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Original Excel sheet name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sheet_index</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Sheet order in workbook</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position_no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Position number in sheet (if present)</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row_index</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Excel row as fallback anchor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catalog_code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URS/OTSKP/RTS code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description</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Full position description (Czech)</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Unit of measure (m3, m2, t, ks)</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qty</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Decimal</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Quantity from estimate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unit_price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Decimal</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Price per unit</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total_price</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Decimal</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qty * unit_price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work_category</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Enum</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beton/bedneni/vystuz/zemni_prace/...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template_id</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UUID (FK)</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Linked template (nullable)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template_confidence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Enum</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GREEN/AMBER/RED/null</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monolith_payload</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Monolit Planner calculation results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dov_payload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DOV breakdown results</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overrides</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Local deviations from template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file_version_id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UUID (FK)</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Source file version</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created_at</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Timestamp</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First parse timestamp</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updated_at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Timestamp</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Last modification</w:t>
            </w:r>
          </w:p>
        </w:tc>
      </w:tr>
    </w:tbl>
    <w:p>
      <w:pPr>
        <w:spacing w:before="200"/>
      </w:pPr>
    </w:p>
    <w:p>
      <w:pPr>
        <w:spacing w:after="80" w:before="200"/>
      </w:pPr>
      <w:r>
        <w:rPr>
          <w:rFonts w:ascii="Arial" w:cs="Arial" w:eastAsia="Arial" w:hAnsi="Arial"/>
          <w:b/>
          <w:bCs/>
          <w:color w:val="2980B9"/>
          <w:sz w:val="22"/>
          <w:szCs w:val="22"/>
        </w:rPr>
        <w:t xml:space="preserve">PositionTemplate (reusable calculation pattern):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6"/>
      </w:tblGrid>
      <w:tr>
        <w:tc>
          <w:tcPr>
            <w:tcW w:type="dxa" w:w="2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0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template_id</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UUID (PK)</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Unique template identifier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template_key</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Hash of code+unit+desc_norm+category</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catalog_code</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Reference catalog code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String</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Unit of measure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description_normalized</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Text</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Cleaned description (no sizes/numbers)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work_category</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Enum</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Classification (beton, bedneni, vystuz...)</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monolith_template</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Default Monolit calculation params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dov_template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Default DOV breakdown</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activity_roles</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Activity-to-role mapping with coefficients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scaling_rules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JSONB</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Per-item: linear/fixed/manual</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created_by</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UUID</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User who created</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created_at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Timestamp</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Creation time</w:t>
            </w:r>
          </w:p>
        </w:tc>
      </w:tr>
      <w:tr>
        <w:tc>
          <w:tcPr>
            <w:tcW w:type="dxa" w:w="2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version</w:t>
            </w:r>
          </w:p>
        </w:tc>
        <w:tc>
          <w:tcPr>
            <w:tcW w:type="dxa" w:w="1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5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Template version counter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usage_count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Integer</w:t>
            </w:r>
          </w:p>
        </w:tc>
        <w:tc>
          <w:tcPr>
            <w:tcW w:type="dxa" w:w="5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Times applied across projects</w:t>
            </w:r>
          </w:p>
        </w:tc>
      </w:tr>
    </w:tbl>
    <w:p>
      <w:pPr>
        <w:spacing w:before="200"/>
      </w:pPr>
    </w:p>
    <w:p>
      <w:pPr>
        <w:spacing w:after="80" w:before="200"/>
      </w:pPr>
      <w:r>
        <w:rPr>
          <w:rFonts w:ascii="Arial" w:cs="Arial" w:eastAsia="Arial" w:hAnsi="Arial"/>
          <w:b/>
          <w:bCs/>
          <w:color w:val="2980B9"/>
          <w:sz w:val="22"/>
          <w:szCs w:val="22"/>
        </w:rPr>
        <w:t xml:space="preserve">Supporting entities: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Entity</w:t>
            </w:r>
          </w:p>
        </w:tc>
        <w:tc>
          <w:tcPr>
            <w:tcW w:type="dxa" w:w="710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Fields</w:t>
            </w:r>
          </w:p>
        </w:tc>
      </w:tr>
      <w:tr>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C3E50"/>
                <w:sz w:val="20"/>
                <w:szCs w:val="20"/>
              </w:rPr>
              <w:t xml:space="preserve">Project</w:t>
            </w:r>
          </w:p>
        </w:tc>
        <w:tc>
          <w:tcPr>
            <w:tcW w:type="dxa" w:w="7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project_id, name, client, location, status, created_at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Object</w:t>
            </w:r>
          </w:p>
        </w:tc>
        <w:tc>
          <w:tcPr>
            <w:tcW w:type="dxa" w:w="7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object_id, project_id, name, sheet_name, sheet_index, type</w:t>
            </w:r>
          </w:p>
        </w:tc>
      </w:tr>
      <w:tr>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C3E50"/>
                <w:sz w:val="20"/>
                <w:szCs w:val="20"/>
              </w:rPr>
              <w:t xml:space="preserve">SourceFile</w:t>
            </w:r>
          </w:p>
        </w:tc>
        <w:tc>
          <w:tcPr>
            <w:tcW w:type="dxa" w:w="7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file_id, project_id, filename, upload_path, content_hash</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FileVersion</w:t>
            </w:r>
          </w:p>
        </w:tc>
        <w:tc>
          <w:tcPr>
            <w:tcW w:type="dxa" w:w="7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file_version_id, file_id, version_no, parsed_at, position_count</w:t>
            </w:r>
          </w:p>
        </w:tc>
      </w:tr>
      <w:tr>
        <w:tc>
          <w:tcPr>
            <w:tcW w:type="dxa" w:w="24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C3E50"/>
                <w:sz w:val="20"/>
                <w:szCs w:val="20"/>
              </w:rPr>
              <w:t xml:space="preserve">ApplyLog</w:t>
            </w:r>
          </w:p>
        </w:tc>
        <w:tc>
          <w:tcPr>
            <w:tcW w:type="dxa" w:w="71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log_id, template_id, position_instance_id, applied_by, confidence, timestamp</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ActivityRole</w:t>
            </w:r>
          </w:p>
        </w:tc>
        <w:tc>
          <w:tcPr>
            <w:tcW w:type="dxa" w:w="71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activity_type, role, coefficient (e.g. bedneni -&gt; tesar 0.7, pomocnik 0.3)</w:t>
            </w:r>
          </w:p>
        </w:tc>
      </w:tr>
    </w:tbl>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4. Activity-Role Mapping System</w:t>
      </w:r>
    </w:p>
    <w:p>
      <w:pPr>
        <w:spacing w:after="80" w:before="80"/>
      </w:pPr>
      <w:r>
        <w:rPr>
          <w:rFonts w:ascii="Arial" w:cs="Arial" w:eastAsia="Arial" w:hAnsi="Arial"/>
          <w:color w:val="333333"/>
          <w:sz w:val="22"/>
          <w:szCs w:val="22"/>
        </w:rPr>
        <w:t xml:space="preserve">The vocabulary mismatch between activities (types of work) and roles (professions) is resolved through a separate mapping layer, not by merging the concepts.</w:t>
      </w:r>
    </w:p>
    <w:p>
      <w:pPr>
        <w:pStyle w:val="Heading2"/>
        <w:spacing w:after="120" w:before="240"/>
      </w:pPr>
      <w:r>
        <w:rPr>
          <w:rFonts w:ascii="Arial" w:cs="Arial" w:eastAsia="Arial" w:hAnsi="Arial"/>
        </w:rPr>
        <w:t xml:space="preserve">4.1 Concept Separation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753"/>
        <w:gridCol w:w="3753"/>
      </w:tblGrid>
      <w:tr>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7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Represents</w:t>
            </w:r>
          </w:p>
        </w:tc>
        <w:tc>
          <w:tcPr>
            <w:tcW w:type="dxa" w:w="37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2C3E50"/>
                <w:sz w:val="20"/>
                <w:szCs w:val="20"/>
              </w:rPr>
              <w:t xml:space="preserve">Activity</w:t>
            </w:r>
          </w:p>
        </w:tc>
        <w:tc>
          <w:tcPr>
            <w:tcW w:type="dxa" w:w="375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Type of construction work</w:t>
            </w:r>
          </w:p>
        </w:tc>
        <w:tc>
          <w:tcPr>
            <w:tcW w:type="dxa" w:w="375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bedneni, betonaz, vystuz, injektaz, zemni_prace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Role</w:t>
            </w:r>
          </w:p>
        </w:tc>
        <w:tc>
          <w:tcPr>
            <w:tcW w:type="dxa" w:w="37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Profession/trade performing the work</w:t>
            </w:r>
          </w:p>
        </w:tc>
        <w:tc>
          <w:tcPr>
            <w:tcW w:type="dxa" w:w="3753"/>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333333"/>
                <w:sz w:val="20"/>
                <w:szCs w:val="20"/>
              </w:rPr>
              <w:t xml:space="preserve">tesar, zelezar, betonar, zednik, mistr</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b/>
                <w:bCs/>
                <w:color w:val="2C3E50"/>
                <w:sz w:val="20"/>
                <w:szCs w:val="20"/>
              </w:rPr>
              <w:t xml:space="preserve">Resource</w:t>
            </w:r>
          </w:p>
        </w:tc>
        <w:tc>
          <w:tcPr>
            <w:tcW w:type="dxa" w:w="375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Specific people, machines, materials</w:t>
            </w:r>
          </w:p>
        </w:tc>
        <w:tc>
          <w:tcPr>
            <w:tcW w:type="dxa" w:w="3753"/>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tcPr>
          <w:p>
            <w:r>
              <w:rPr>
                <w:rFonts w:ascii="Arial" w:cs="Arial" w:eastAsia="Arial" w:hAnsi="Arial"/>
                <w:color w:val="333333"/>
                <w:sz w:val="20"/>
                <w:szCs w:val="20"/>
              </w:rPr>
              <w:t xml:space="preserve">autojerab AD20, vibrator, beton C30/37</w:t>
            </w:r>
          </w:p>
        </w:tc>
      </w:tr>
    </w:tbl>
    <w:p>
      <w:pPr>
        <w:pStyle w:val="Heading2"/>
        <w:spacing w:after="120" w:before="240"/>
      </w:pPr>
      <w:r>
        <w:rPr>
          <w:rFonts w:ascii="Arial" w:cs="Arial" w:eastAsia="Arial" w:hAnsi="Arial"/>
        </w:rPr>
        <w:t xml:space="preserve">4.2 Mapping Rules</w:t>
      </w:r>
    </w:p>
    <w:p>
      <w:pPr>
        <w:spacing w:after="80" w:before="80"/>
      </w:pPr>
      <w:r>
        <w:rPr>
          <w:rFonts w:ascii="Arial" w:cs="Arial" w:eastAsia="Arial" w:hAnsi="Arial"/>
          <w:color w:val="333333"/>
          <w:sz w:val="22"/>
          <w:szCs w:val="22"/>
        </w:rPr>
        <w:t xml:space="preserve">Each activity_type maps to roles with coefficients. Start with a manual table, evolve to semi-automatic classification.</w:t>
      </w:r>
    </w:p>
    <w:p>
      <w:pPr>
        <w:shd w:fill="F4F6F7" w:val="clear"/>
        <w:spacing w:after="60" w:before="60"/>
        <w:ind w:left="360"/>
      </w:pPr>
      <w:r>
        <w:rPr>
          <w:rFonts w:ascii="Courier New" w:cs="Courier New" w:eastAsia="Courier New" w:hAnsi="Courier New"/>
          <w:color w:val="2C3E50"/>
          <w:sz w:val="18"/>
          <w:szCs w:val="18"/>
        </w:rPr>
        <w:t xml:space="preserve">bedneni  -&gt; tesar: 0.70, pomocnik: 0.30</w:t>
      </w:r>
    </w:p>
    <w:p>
      <w:pPr>
        <w:shd w:fill="F4F6F7" w:val="clear"/>
        <w:spacing w:after="60" w:before="60"/>
        <w:ind w:left="360"/>
      </w:pPr>
      <w:r>
        <w:rPr>
          <w:rFonts w:ascii="Courier New" w:cs="Courier New" w:eastAsia="Courier New" w:hAnsi="Courier New"/>
          <w:color w:val="2C3E50"/>
          <w:sz w:val="18"/>
          <w:szCs w:val="18"/>
        </w:rPr>
        <w:t xml:space="preserve">betonaz  -&gt; betonar: 0.50, pomocnik: 0.30, jerabnik: 0.20</w:t>
      </w:r>
    </w:p>
    <w:p>
      <w:pPr>
        <w:shd w:fill="F4F6F7" w:val="clear"/>
        <w:spacing w:after="60" w:before="60"/>
        <w:ind w:left="360"/>
      </w:pPr>
      <w:r>
        <w:rPr>
          <w:rFonts w:ascii="Courier New" w:cs="Courier New" w:eastAsia="Courier New" w:hAnsi="Courier New"/>
          <w:color w:val="2C3E50"/>
          <w:sz w:val="18"/>
          <w:szCs w:val="18"/>
        </w:rPr>
        <w:t xml:space="preserve">vystuz   -&gt; zelezar: 0.70, pomocnik: 0.20, svarecnik: 0.10</w:t>
      </w:r>
    </w:p>
    <w:p>
      <w:pPr>
        <w:shd w:fill="F4F6F7" w:val="clear"/>
        <w:spacing w:after="60" w:before="60"/>
        <w:ind w:left="360"/>
      </w:pPr>
      <w:r>
        <w:rPr>
          <w:rFonts w:ascii="Courier New" w:cs="Courier New" w:eastAsia="Courier New" w:hAnsi="Courier New"/>
          <w:color w:val="2C3E50"/>
          <w:sz w:val="18"/>
          <w:szCs w:val="18"/>
        </w:rPr>
        <w:t xml:space="preserve">injektaz -&gt; betonar: 0.60, pomocnik: 0.40</w:t>
      </w:r>
    </w:p>
    <w:p>
      <w:pPr>
        <w:spacing w:after="80" w:before="160"/>
      </w:pPr>
      <w:r>
        <w:rPr>
          <w:rFonts w:ascii="Arial" w:cs="Arial" w:eastAsia="Arial" w:hAnsi="Arial"/>
          <w:b/>
          <w:bCs/>
          <w:color w:val="333333"/>
          <w:sz w:val="22"/>
          <w:szCs w:val="22"/>
        </w:rPr>
        <w:t xml:space="preserve">Scaling rules per resource line:</w:t>
      </w:r>
    </w:p>
    <w:p>
      <w:pPr>
        <w:pStyle w:val="ListParagraph"/>
        <w:numPr>
          <w:ilvl w:val="0"/>
          <w:numId w:val="2"/>
        </w:numPr>
        <w:spacing w:after="40" w:before="40"/>
      </w:pPr>
      <w:r>
        <w:rPr>
          <w:rFonts w:ascii="Arial" w:cs="Arial" w:eastAsia="Arial" w:hAnsi="Arial"/>
          <w:sz w:val="20"/>
          <w:szCs w:val="20"/>
        </w:rPr>
        <w:t xml:space="preserve">linear: scales proportionally with qty (materials, labor hours)</w:t>
      </w:r>
    </w:p>
    <w:p>
      <w:pPr>
        <w:pStyle w:val="ListParagraph"/>
        <w:numPr>
          <w:ilvl w:val="0"/>
          <w:numId w:val="2"/>
        </w:numPr>
        <w:spacing w:after="40" w:before="40"/>
      </w:pPr>
      <w:r>
        <w:rPr>
          <w:rFonts w:ascii="Arial" w:cs="Arial" w:eastAsia="Arial" w:hAnsi="Arial"/>
          <w:sz w:val="20"/>
          <w:szCs w:val="20"/>
        </w:rPr>
        <w:t xml:space="preserve">fixed: constant regardless of qty (mobilization, setup)</w:t>
      </w:r>
    </w:p>
    <w:p>
      <w:pPr>
        <w:pStyle w:val="ListParagraph"/>
        <w:numPr>
          <w:ilvl w:val="0"/>
          <w:numId w:val="2"/>
        </w:numPr>
        <w:spacing w:after="40" w:before="40"/>
      </w:pPr>
      <w:r>
        <w:rPr>
          <w:rFonts w:ascii="Arial" w:cs="Arial" w:eastAsia="Arial" w:hAnsi="Arial"/>
          <w:sz w:val="20"/>
          <w:szCs w:val="20"/>
        </w:rPr>
        <w:t xml:space="preserve">manual: requires human review for each instance (crane selection, complex formwork)</w:t>
      </w:r>
    </w:p>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5. Kiosk Integration Flow</w:t>
      </w:r>
    </w:p>
    <w:p>
      <w:pPr>
        <w:pStyle w:val="Heading2"/>
        <w:spacing w:after="120" w:before="240"/>
      </w:pPr>
      <w:r>
        <w:rPr>
          <w:rFonts w:ascii="Arial" w:cs="Arial" w:eastAsia="Arial" w:hAnsi="Arial"/>
        </w:rPr>
        <w:t xml:space="preserve">5.1 Unified Upload Flow</w:t>
      </w:r>
    </w:p>
    <w:p>
      <w:pPr>
        <w:spacing w:after="80" w:before="80"/>
      </w:pPr>
      <w:r>
        <w:rPr>
          <w:rFonts w:ascii="Arial" w:cs="Arial" w:eastAsia="Arial" w:hAnsi="Arial"/>
          <w:color w:val="333333"/>
          <w:sz w:val="22"/>
          <w:szCs w:val="22"/>
        </w:rPr>
        <w:t xml:space="preserve">Any kiosk can have an Upload button, but every upload follows the same pipeline:</w:t>
      </w:r>
    </w:p>
    <w:p>
      <w:pPr>
        <w:pStyle w:val="ListParagraph"/>
        <w:numPr>
          <w:ilvl w:val="0"/>
          <w:numId w:val="3"/>
        </w:numPr>
        <w:spacing w:after="40" w:before="40"/>
      </w:pPr>
      <w:r>
        <w:rPr>
          <w:rFonts w:ascii="Arial" w:cs="Arial" w:eastAsia="Arial" w:hAnsi="Arial"/>
          <w:sz w:val="20"/>
          <w:szCs w:val="20"/>
        </w:rPr>
        <w:t xml:space="preserve">User clicks Upload in any kiosk (Rozpocet, Monolit, DOV)</w:t>
      </w:r>
    </w:p>
    <w:p>
      <w:pPr>
        <w:pStyle w:val="ListParagraph"/>
        <w:numPr>
          <w:ilvl w:val="0"/>
          <w:numId w:val="3"/>
        </w:numPr>
        <w:spacing w:after="40" w:before="40"/>
      </w:pPr>
      <w:r>
        <w:rPr>
          <w:rFonts w:ascii="Arial" w:cs="Arial" w:eastAsia="Arial" w:hAnsi="Arial"/>
          <w:sz w:val="20"/>
          <w:szCs w:val="20"/>
        </w:rPr>
        <w:t xml:space="preserve">System creates or selects a Project (dialog: new project or existing?)</w:t>
      </w:r>
    </w:p>
    <w:p>
      <w:pPr>
        <w:pStyle w:val="ListParagraph"/>
        <w:numPr>
          <w:ilvl w:val="0"/>
          <w:numId w:val="3"/>
        </w:numPr>
        <w:spacing w:after="40" w:before="40"/>
      </w:pPr>
      <w:r>
        <w:rPr>
          <w:rFonts w:ascii="Arial" w:cs="Arial" w:eastAsia="Arial" w:hAnsi="Arial"/>
          <w:sz w:val="20"/>
          <w:szCs w:val="20"/>
        </w:rPr>
        <w:t xml:space="preserve">File is stored as SourceFile with content_hash for dedup</w:t>
      </w:r>
    </w:p>
    <w:p>
      <w:pPr>
        <w:pStyle w:val="ListParagraph"/>
        <w:numPr>
          <w:ilvl w:val="0"/>
          <w:numId w:val="3"/>
        </w:numPr>
        <w:spacing w:after="40" w:before="40"/>
      </w:pPr>
      <w:r>
        <w:rPr>
          <w:rFonts w:ascii="Arial" w:cs="Arial" w:eastAsia="Arial" w:hAnsi="Arial"/>
          <w:sz w:val="20"/>
          <w:szCs w:val="20"/>
        </w:rPr>
        <w:t xml:space="preserve">FileVersion is created (version_no incremented if file updated)</w:t>
      </w:r>
    </w:p>
    <w:p>
      <w:pPr>
        <w:pStyle w:val="ListParagraph"/>
        <w:numPr>
          <w:ilvl w:val="0"/>
          <w:numId w:val="3"/>
        </w:numPr>
        <w:spacing w:after="40" w:before="40"/>
      </w:pPr>
      <w:r>
        <w:rPr>
          <w:rFonts w:ascii="Arial" w:cs="Arial" w:eastAsia="Arial" w:hAnsi="Arial"/>
          <w:sz w:val="20"/>
          <w:szCs w:val="20"/>
        </w:rPr>
        <w:t xml:space="preserve">Parser runs: Excel sheets become Objects, rows become PositionInstances</w:t>
      </w:r>
    </w:p>
    <w:p>
      <w:pPr>
        <w:pStyle w:val="ListParagraph"/>
        <w:numPr>
          <w:ilvl w:val="0"/>
          <w:numId w:val="3"/>
        </w:numPr>
        <w:spacing w:after="40" w:before="40"/>
      </w:pPr>
      <w:r>
        <w:rPr>
          <w:rFonts w:ascii="Arial" w:cs="Arial" w:eastAsia="Arial" w:hAnsi="Arial"/>
          <w:sz w:val="20"/>
          <w:szCs w:val="20"/>
        </w:rPr>
        <w:t xml:space="preserve">Each PositionInstance gets a stable UUID (position_instance_id)</w:t>
      </w:r>
    </w:p>
    <w:p>
      <w:pPr>
        <w:pStyle w:val="ListParagraph"/>
        <w:numPr>
          <w:ilvl w:val="0"/>
          <w:numId w:val="3"/>
        </w:numPr>
        <w:spacing w:after="40" w:before="40"/>
      </w:pPr>
      <w:r>
        <w:rPr>
          <w:rFonts w:ascii="Arial" w:cs="Arial" w:eastAsia="Arial" w:hAnsi="Arial"/>
          <w:sz w:val="20"/>
          <w:szCs w:val="20"/>
        </w:rPr>
        <w:t xml:space="preserve">Kiosk receives position_instance_ids to work with</w:t>
      </w:r>
    </w:p>
    <w:p>
      <w:pPr>
        <w:pStyle w:val="Heading2"/>
        <w:spacing w:after="120" w:before="240"/>
      </w:pPr>
      <w:r>
        <w:rPr>
          <w:rFonts w:ascii="Arial" w:cs="Arial" w:eastAsia="Arial" w:hAnsi="Arial"/>
        </w:rPr>
        <w:t xml:space="preserve">5.2 Monolit Planner Workflow (Changed)</w:t>
      </w:r>
    </w:p>
    <w:p>
      <w:pPr>
        <w:spacing w:after="80" w:before="80"/>
      </w:pPr>
      <w:r>
        <w:rPr>
          <w:rFonts w:ascii="Arial" w:cs="Arial" w:eastAsia="Arial" w:hAnsi="Arial"/>
          <w:color w:val="333333"/>
          <w:sz w:val="22"/>
          <w:szCs w:val="22"/>
        </w:rPr>
        <w:t xml:space="preserve">Monolit Planner no longer imports its own copy of Excel. Instead:</w:t>
      </w:r>
    </w:p>
    <w:p>
      <w:pPr>
        <w:pStyle w:val="ListParagraph"/>
        <w:numPr>
          <w:ilvl w:val="0"/>
          <w:numId w:val="4"/>
        </w:numPr>
        <w:spacing w:after="40" w:before="40"/>
      </w:pPr>
      <w:r>
        <w:rPr>
          <w:rFonts w:ascii="Arial" w:cs="Arial" w:eastAsia="Arial" w:hAnsi="Arial"/>
          <w:sz w:val="20"/>
          <w:szCs w:val="20"/>
        </w:rPr>
        <w:t xml:space="preserve">User opens Monolit, selects Project, applies filter (e.g. "only beton")</w:t>
      </w:r>
    </w:p>
    <w:p>
      <w:pPr>
        <w:pStyle w:val="ListParagraph"/>
        <w:numPr>
          <w:ilvl w:val="0"/>
          <w:numId w:val="4"/>
        </w:numPr>
        <w:spacing w:after="40" w:before="40"/>
      </w:pPr>
      <w:r>
        <w:rPr>
          <w:rFonts w:ascii="Arial" w:cs="Arial" w:eastAsia="Arial" w:hAnsi="Arial"/>
          <w:sz w:val="20"/>
          <w:szCs w:val="20"/>
        </w:rPr>
        <w:t xml:space="preserve">Monolit receives list of PositionInstances matching the filter</w:t>
      </w:r>
    </w:p>
    <w:p>
      <w:pPr>
        <w:pStyle w:val="ListParagraph"/>
        <w:numPr>
          <w:ilvl w:val="0"/>
          <w:numId w:val="4"/>
        </w:numPr>
        <w:spacing w:after="40" w:before="40"/>
      </w:pPr>
      <w:r>
        <w:rPr>
          <w:rFonts w:ascii="Arial" w:cs="Arial" w:eastAsia="Arial" w:hAnsi="Arial"/>
          <w:sz w:val="20"/>
          <w:szCs w:val="20"/>
        </w:rPr>
        <w:t xml:space="preserve">For each position, Monolit creates a Selection (set of position_instance_ids)</w:t>
      </w:r>
    </w:p>
    <w:p>
      <w:pPr>
        <w:pStyle w:val="ListParagraph"/>
        <w:numPr>
          <w:ilvl w:val="0"/>
          <w:numId w:val="4"/>
        </w:numPr>
        <w:spacing w:after="40" w:before="40"/>
      </w:pPr>
      <w:r>
        <w:rPr>
          <w:rFonts w:ascii="Arial" w:cs="Arial" w:eastAsia="Arial" w:hAnsi="Arial"/>
          <w:sz w:val="20"/>
          <w:szCs w:val="20"/>
        </w:rPr>
        <w:t xml:space="preserve">Calculations produce monolith_calc_inputs and monolith_calc_outputs</w:t>
      </w:r>
    </w:p>
    <w:p>
      <w:pPr>
        <w:pStyle w:val="ListParagraph"/>
        <w:numPr>
          <w:ilvl w:val="0"/>
          <w:numId w:val="4"/>
        </w:numPr>
        <w:spacing w:after="40" w:before="40"/>
      </w:pPr>
      <w:r>
        <w:rPr>
          <w:rFonts w:ascii="Arial" w:cs="Arial" w:eastAsia="Arial" w:hAnsi="Arial"/>
          <w:sz w:val="20"/>
          <w:szCs w:val="20"/>
        </w:rPr>
        <w:t xml:space="preserve">Results are written back to the PositionInstance.monolith_payload field</w:t>
      </w:r>
    </w:p>
    <w:p>
      <w:pPr>
        <w:pStyle w:val="ListParagraph"/>
        <w:numPr>
          <w:ilvl w:val="0"/>
          <w:numId w:val="4"/>
        </w:numPr>
        <w:spacing w:after="40" w:before="40"/>
      </w:pPr>
      <w:r>
        <w:rPr>
          <w:rFonts w:ascii="Arial" w:cs="Arial" w:eastAsia="Arial" w:hAnsi="Arial"/>
          <w:sz w:val="20"/>
          <w:szCs w:val="20"/>
        </w:rPr>
        <w:t xml:space="preserve">Optionally: Save as Template for reuse across similar positions</w:t>
      </w:r>
    </w:p>
    <w:p>
      <w:pPr>
        <w:pStyle w:val="Heading2"/>
        <w:spacing w:after="120" w:before="240"/>
      </w:pPr>
      <w:r>
        <w:rPr>
          <w:rFonts w:ascii="Arial" w:cs="Arial" w:eastAsia="Arial" w:hAnsi="Arial"/>
        </w:rPr>
        <w:t xml:space="preserve">5.3 Cross-Kiosk Navigation</w:t>
      </w:r>
    </w:p>
    <w:p>
      <w:pPr>
        <w:spacing w:after="80" w:before="80"/>
      </w:pPr>
      <w:r>
        <w:rPr>
          <w:rFonts w:ascii="Arial" w:cs="Arial" w:eastAsia="Arial" w:hAnsi="Arial"/>
          <w:color w:val="333333"/>
          <w:sz w:val="22"/>
          <w:szCs w:val="22"/>
        </w:rPr>
        <w:t xml:space="preserve">Transition between kiosks is a deep link with project_id and position_instance_id. Example: Rozpocet Registry shows a "Calculate in Monolit" button next to each position that opens Monolit Planner pre-loaded with that position. Monolit shows a "Back to Registry" link that returns to the position in context.</w:t>
      </w:r>
    </w:p>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6. Template Application System</w:t>
      </w:r>
    </w:p>
    <w:p>
      <w:pPr>
        <w:pStyle w:val="Heading2"/>
        <w:spacing w:after="120" w:before="240"/>
      </w:pPr>
      <w:r>
        <w:rPr>
          <w:rFonts w:ascii="Arial" w:cs="Arial" w:eastAsia="Arial" w:hAnsi="Arial"/>
        </w:rPr>
        <w:t xml:space="preserve">6.1 Save as Template</w:t>
      </w:r>
    </w:p>
    <w:p>
      <w:pPr>
        <w:spacing w:after="80" w:before="80"/>
      </w:pPr>
      <w:r>
        <w:rPr>
          <w:rFonts w:ascii="Arial" w:cs="Arial" w:eastAsia="Arial" w:hAnsi="Arial"/>
          <w:color w:val="333333"/>
          <w:sz w:val="22"/>
          <w:szCs w:val="22"/>
        </w:rPr>
        <w:t xml:space="preserve">When a good calculation is completed in any kiosk, the user can save it as a PositionTemplate. The system normalizes the description (strips sizes, numbers, synonyms) and creates a reusable template_key.</w:t>
      </w:r>
    </w:p>
    <w:p>
      <w:pPr>
        <w:pStyle w:val="Heading2"/>
        <w:spacing w:after="120" w:before="240"/>
      </w:pPr>
      <w:r>
        <w:rPr>
          <w:rFonts w:ascii="Arial" w:cs="Arial" w:eastAsia="Arial" w:hAnsi="Arial"/>
        </w:rPr>
        <w:t xml:space="preserve">6.2 Apply Template to Matches</w:t>
      </w:r>
    </w:p>
    <w:p>
      <w:pPr>
        <w:spacing w:after="80" w:before="80"/>
      </w:pPr>
      <w:r>
        <w:rPr>
          <w:rFonts w:ascii="Arial" w:cs="Arial" w:eastAsia="Arial" w:hAnsi="Arial"/>
          <w:color w:val="333333"/>
          <w:sz w:val="22"/>
          <w:szCs w:val="22"/>
        </w:rPr>
        <w:t xml:space="preserve">When applying a template across a project, the system must show all matching positions with confidence scores. The user reviews and confirms before applying.</w:t>
      </w:r>
    </w:p>
    <w:p>
      <w:pPr>
        <w:pStyle w:val="Heading2"/>
        <w:spacing w:after="120" w:before="240"/>
      </w:pPr>
      <w:r>
        <w:rPr>
          <w:rFonts w:ascii="Arial" w:cs="Arial" w:eastAsia="Arial" w:hAnsi="Arial"/>
        </w:rPr>
        <w:t xml:space="preserve">6.3 Confidence Scoring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3053"/>
        <w:gridCol w:w="5053"/>
      </w:tblGrid>
      <w:tr>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30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Criteria</w:t>
            </w:r>
          </w:p>
        </w:tc>
        <w:tc>
          <w:tcPr>
            <w:tcW w:type="dxa" w:w="50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14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b/>
                <w:bCs/>
                <w:color w:val="27AE60"/>
                <w:sz w:val="20"/>
                <w:szCs w:val="20"/>
              </w:rPr>
              <w:t xml:space="preserve">GREEN</w:t>
            </w:r>
          </w:p>
        </w:tc>
        <w:tc>
          <w:tcPr>
            <w:tcW w:type="dxa" w:w="3053"/>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color w:val="333333"/>
                <w:sz w:val="20"/>
                <w:szCs w:val="20"/>
              </w:rPr>
              <w:t xml:space="preserve">Exact match: code + unit + normalized description</w:t>
            </w:r>
          </w:p>
        </w:tc>
        <w:tc>
          <w:tcPr>
            <w:tcW w:type="dxa" w:w="5053"/>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tcPr>
          <w:p>
            <w:r>
              <w:rPr>
                <w:rFonts w:ascii="Arial" w:cs="Arial" w:eastAsia="Arial" w:hAnsi="Arial"/>
                <w:color w:val="333333"/>
                <w:sz w:val="20"/>
                <w:szCs w:val="20"/>
              </w:rPr>
              <w:t xml:space="preserve">Auto-apply allowed (with user confirmation toggle)</w:t>
            </w:r>
          </w:p>
        </w:tc>
      </w:tr>
      <w:tr>
        <w:tc>
          <w:tcPr>
            <w:tcW w:type="dxa" w:w="14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b/>
                <w:bCs/>
                <w:color w:val="E67E22"/>
                <w:sz w:val="20"/>
                <w:szCs w:val="20"/>
              </w:rPr>
              <w:t xml:space="preserve">AMBER</w:t>
            </w:r>
          </w:p>
        </w:tc>
        <w:tc>
          <w:tcPr>
            <w:tcW w:type="dxa" w:w="3053"/>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color w:val="333333"/>
                <w:sz w:val="20"/>
                <w:szCs w:val="20"/>
              </w:rPr>
              <w:t xml:space="preserve">Partial: code + unit match, description differs</w:t>
            </w:r>
          </w:p>
        </w:tc>
        <w:tc>
          <w:tcPr>
            <w:tcW w:type="dxa" w:w="5053"/>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tcPr>
          <w:p>
            <w:r>
              <w:rPr>
                <w:rFonts w:ascii="Arial" w:cs="Arial" w:eastAsia="Arial" w:hAnsi="Arial"/>
                <w:color w:val="333333"/>
                <w:sz w:val="20"/>
                <w:szCs w:val="20"/>
              </w:rPr>
              <w:t xml:space="preserve">Show comparison, require manual review</w:t>
            </w:r>
          </w:p>
        </w:tc>
      </w:tr>
      <w:tr>
        <w:tc>
          <w:tcPr>
            <w:tcW w:type="dxa" w:w="14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RED</w:t>
            </w:r>
          </w:p>
        </w:tc>
        <w:tc>
          <w:tcPr>
            <w:tcW w:type="dxa" w:w="3053"/>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Only code matches, different unit or category</w:t>
            </w:r>
          </w:p>
        </w:tc>
        <w:tc>
          <w:tcPr>
            <w:tcW w:type="dxa" w:w="5053"/>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tcPr>
          <w:p>
            <w:r>
              <w:rPr>
                <w:rFonts w:ascii="Arial" w:cs="Arial" w:eastAsia="Arial" w:hAnsi="Arial"/>
                <w:color w:val="333333"/>
                <w:sz w:val="20"/>
                <w:szCs w:val="20"/>
              </w:rPr>
              <w:t xml:space="preserve">Block auto-apply, manual assignment only</w:t>
            </w:r>
          </w:p>
        </w:tc>
      </w:tr>
    </w:tbl>
    <w:p>
      <w:pPr>
        <w:pStyle w:val="Heading2"/>
        <w:spacing w:after="120" w:before="240"/>
      </w:pPr>
      <w:r>
        <w:rPr>
          <w:rFonts w:ascii="Arial" w:cs="Arial" w:eastAsia="Arial" w:hAnsi="Arial"/>
        </w:rPr>
        <w:t xml:space="preserve">6.4 Template + Overrides Pattern</w:t>
      </w:r>
    </w:p>
    <w:p>
      <w:pPr>
        <w:spacing w:after="80" w:before="80"/>
      </w:pPr>
      <w:r>
        <w:rPr>
          <w:rFonts w:ascii="Arial" w:cs="Arial" w:eastAsia="Arial" w:hAnsi="Arial"/>
          <w:color w:val="333333"/>
          <w:sz w:val="22"/>
          <w:szCs w:val="22"/>
        </w:rPr>
        <w:t xml:space="preserve">Each PositionInstance has template_id (which template is linked), template_confidence (match quality), and overrides (local deviations). This allows using a standard template while adjusting for the specific object. For example, a bridge with complex geometry might use the standard C30/37 template but override the formwork complexity coefficient.</w:t>
      </w:r>
    </w:p>
    <w:p>
      <w:pPr>
        <w:pStyle w:val="Heading2"/>
        <w:spacing w:after="120" w:before="240"/>
      </w:pPr>
      <w:r>
        <w:rPr>
          <w:rFonts w:ascii="Arial" w:cs="Arial" w:eastAsia="Arial" w:hAnsi="Arial"/>
        </w:rPr>
        <w:t xml:space="preserve">6.5 Scaling Rules</w:t>
      </w:r>
    </w:p>
    <w:p>
      <w:pPr>
        <w:spacing w:after="80" w:before="80"/>
      </w:pPr>
      <w:r>
        <w:rPr>
          <w:rFonts w:ascii="Arial" w:cs="Arial" w:eastAsia="Arial" w:hAnsi="Arial"/>
          <w:color w:val="333333"/>
          <w:sz w:val="22"/>
          <w:szCs w:val="22"/>
        </w:rPr>
        <w:t xml:space="preserve">When applying a template to a position with different quantity, each resource line has a scaling rule:</w:t>
      </w:r>
    </w:p>
    <w:p>
      <w:pPr>
        <w:pStyle w:val="ListParagraph"/>
        <w:numPr>
          <w:ilvl w:val="0"/>
          <w:numId w:val="2"/>
        </w:numPr>
        <w:spacing w:after="40" w:before="40"/>
      </w:pPr>
      <w:r>
        <w:rPr>
          <w:rFonts w:ascii="Arial" w:cs="Arial" w:eastAsia="Arial" w:hAnsi="Arial"/>
          <w:sz w:val="20"/>
          <w:szCs w:val="20"/>
        </w:rPr>
        <w:t xml:space="preserve">linear: materials, labor hours scale proportionally with qty</w:t>
      </w:r>
    </w:p>
    <w:p>
      <w:pPr>
        <w:pStyle w:val="ListParagraph"/>
        <w:numPr>
          <w:ilvl w:val="0"/>
          <w:numId w:val="2"/>
        </w:numPr>
        <w:spacing w:after="40" w:before="40"/>
      </w:pPr>
      <w:r>
        <w:rPr>
          <w:rFonts w:ascii="Arial" w:cs="Arial" w:eastAsia="Arial" w:hAnsi="Arial"/>
          <w:sz w:val="20"/>
          <w:szCs w:val="20"/>
        </w:rPr>
        <w:t xml:space="preserve">fixed: mobilization, setup costs remain constant</w:t>
      </w:r>
    </w:p>
    <w:p>
      <w:pPr>
        <w:pStyle w:val="ListParagraph"/>
        <w:numPr>
          <w:ilvl w:val="0"/>
          <w:numId w:val="2"/>
        </w:numPr>
        <w:spacing w:after="40" w:before="40"/>
      </w:pPr>
      <w:r>
        <w:rPr>
          <w:rFonts w:ascii="Arial" w:cs="Arial" w:eastAsia="Arial" w:hAnsi="Arial"/>
          <w:sz w:val="20"/>
          <w:szCs w:val="20"/>
        </w:rPr>
        <w:t xml:space="preserve">manual: crane selection, complex formwork require human review</w:t>
      </w:r>
    </w:p>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7. Core API Endpoints</w:t>
      </w:r>
    </w:p>
    <w:p>
      <w:pPr>
        <w:spacing w:after="80" w:before="80"/>
      </w:pPr>
      <w:r>
        <w:rPr>
          <w:rFonts w:ascii="Arial" w:cs="Arial" w:eastAsia="Arial" w:hAnsi="Arial"/>
          <w:color w:val="333333"/>
          <w:sz w:val="22"/>
          <w:szCs w:val="22"/>
        </w:rPr>
        <w:t xml:space="preserve">Minimum API surface that resolves 80% of integration needs between kiosks: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4306"/>
        <w:gridCol w:w="4000"/>
      </w:tblGrid>
      <w:t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430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/projects</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Create new project</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980B9"/>
                <w:sz w:val="20"/>
                <w:szCs w:val="20"/>
              </w:rPr>
              <w:t xml:space="preserve">GET</w:t>
            </w:r>
          </w:p>
        </w:tc>
        <w:tc>
          <w:tcPr>
            <w:tcW w:type="dxa" w:w="43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/projects</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List projects</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/projects/{id}/files</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Upload source file to project</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/files/{fileVersionId}/parse</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Parse file into positions</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980B9"/>
                <w:sz w:val="20"/>
                <w:szCs w:val="20"/>
              </w:rPr>
              <w:t xml:space="preserve">GET</w:t>
            </w:r>
          </w:p>
        </w:tc>
        <w:tc>
          <w:tcPr>
            <w:tcW w:type="dxa" w:w="43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/projects/{id}/positions</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Get all positions (with filters)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980B9"/>
                <w:sz w:val="20"/>
                <w:szCs w:val="20"/>
              </w:rPr>
              <w:t xml:space="preserve">GET</w:t>
            </w:r>
          </w:p>
        </w:tc>
        <w:tc>
          <w:tcPr>
            <w:tcW w:type="dxa" w:w="43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/positions/{id}</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Get single position with all payloads</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/positions/{id}/monolith-calc</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Write Monolit results</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980B9"/>
                <w:sz w:val="20"/>
                <w:szCs w:val="20"/>
              </w:rPr>
              <w:t xml:space="preserve">GET</w:t>
            </w:r>
          </w:p>
        </w:tc>
        <w:tc>
          <w:tcPr>
            <w:tcW w:type="dxa" w:w="43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/positions/{id}/monolith-calc</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Read Monolit results</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/positions/{id}/dov</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Write DOV breakdown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980B9"/>
                <w:sz w:val="20"/>
                <w:szCs w:val="20"/>
              </w:rPr>
              <w:t xml:space="preserve">GET</w:t>
            </w:r>
          </w:p>
        </w:tc>
        <w:tc>
          <w:tcPr>
            <w:tcW w:type="dxa" w:w="43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/positions/{id}/dov</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Read DOV breakdown</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/templates</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Create template from calculation</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/templates/{id}/apply</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Apply template to matching positions</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980B9"/>
                <w:sz w:val="20"/>
                <w:szCs w:val="20"/>
              </w:rPr>
              <w:t xml:space="preserve">GET</w:t>
            </w:r>
          </w:p>
        </w:tc>
        <w:tc>
          <w:tcPr>
            <w:tcW w:type="dxa" w:w="4306"/>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/templates/{id}/matches</w:t>
            </w:r>
          </w:p>
        </w:tc>
        <w:tc>
          <w:tcPr>
            <w:tcW w:type="dxa" w:w="4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Find matching positions with confidence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POST</w:t>
            </w:r>
          </w:p>
        </w:tc>
        <w:tc>
          <w:tcPr>
            <w:tcW w:type="dxa" w:w="430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/positions/{id}/relink</w:t>
            </w:r>
          </w:p>
        </w:tc>
        <w:tc>
          <w:tcPr>
            <w:tcW w:type="dxa" w:w="4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Re-link position after file update</w:t>
            </w:r>
          </w:p>
        </w:tc>
      </w:tr>
    </w:tbl>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8. File Update &amp; Relink Mechanism</w:t>
      </w:r>
    </w:p>
    <w:p>
      <w:pPr>
        <w:spacing w:after="80" w:before="80"/>
      </w:pPr>
      <w:r>
        <w:rPr>
          <w:rFonts w:ascii="Arial" w:cs="Arial" w:eastAsia="Arial" w:hAnsi="Arial"/>
          <w:color w:val="333333"/>
          <w:sz w:val="22"/>
          <w:szCs w:val="22"/>
        </w:rPr>
        <w:t xml:space="preserve">When a user uploads an updated version of the estimate Excel, the system must preserve existing calculations while handling changed/added/removed positions.</w:t>
      </w:r>
    </w:p>
    <w:p>
      <w:pPr>
        <w:pStyle w:val="Heading2"/>
        <w:spacing w:after="120" w:before="240"/>
      </w:pPr>
      <w:r>
        <w:rPr>
          <w:rFonts w:ascii="Arial" w:cs="Arial" w:eastAsia="Arial" w:hAnsi="Arial"/>
        </w:rPr>
        <w:t xml:space="preserve">8.1 Relink Algorithm</w:t>
      </w:r>
    </w:p>
    <w:p>
      <w:pPr>
        <w:pStyle w:val="ListParagraph"/>
        <w:numPr>
          <w:ilvl w:val="0"/>
          <w:numId w:val="5"/>
        </w:numPr>
        <w:spacing w:after="40" w:before="40"/>
      </w:pPr>
      <w:r>
        <w:rPr>
          <w:rFonts w:ascii="Arial" w:cs="Arial" w:eastAsia="Arial" w:hAnsi="Arial"/>
          <w:sz w:val="20"/>
          <w:szCs w:val="20"/>
        </w:rPr>
        <w:t xml:space="preserve">New file uploaded -&gt; create new FileVersion</w:t>
      </w:r>
    </w:p>
    <w:p>
      <w:pPr>
        <w:pStyle w:val="ListParagraph"/>
        <w:numPr>
          <w:ilvl w:val="0"/>
          <w:numId w:val="5"/>
        </w:numPr>
        <w:spacing w:after="40" w:before="40"/>
      </w:pPr>
      <w:r>
        <w:rPr>
          <w:rFonts w:ascii="Arial" w:cs="Arial" w:eastAsia="Arial" w:hAnsi="Arial"/>
          <w:sz w:val="20"/>
          <w:szCs w:val="20"/>
        </w:rPr>
        <w:t xml:space="preserve">Parse new version into candidate positions</w:t>
      </w:r>
    </w:p>
    <w:p>
      <w:pPr>
        <w:pStyle w:val="ListParagraph"/>
        <w:numPr>
          <w:ilvl w:val="0"/>
          <w:numId w:val="5"/>
        </w:numPr>
        <w:spacing w:after="40" w:before="40"/>
      </w:pPr>
      <w:r>
        <w:rPr>
          <w:rFonts w:ascii="Arial" w:cs="Arial" w:eastAsia="Arial" w:hAnsi="Arial"/>
          <w:sz w:val="20"/>
          <w:szCs w:val="20"/>
        </w:rPr>
        <w:t xml:space="preserve">For each candidate, attempt match against existing PositionInstances:</w:t>
      </w:r>
    </w:p>
    <w:p>
      <w:pPr>
        <w:pStyle w:val="ListParagraph"/>
        <w:numPr>
          <w:ilvl w:val="1"/>
          <w:numId w:val="2"/>
        </w:numPr>
        <w:spacing w:after="40" w:before="40"/>
      </w:pPr>
      <w:r>
        <w:rPr>
          <w:rFonts w:ascii="Arial" w:cs="Arial" w:eastAsia="Arial" w:hAnsi="Arial"/>
          <w:sz w:val="20"/>
          <w:szCs w:val="20"/>
        </w:rPr>
        <w:t xml:space="preserve">Primary key: sheet_name + position_no + catalog_code</w:t>
      </w:r>
    </w:p>
    <w:p>
      <w:pPr>
        <w:pStyle w:val="ListParagraph"/>
        <w:numPr>
          <w:ilvl w:val="1"/>
          <w:numId w:val="2"/>
        </w:numPr>
        <w:spacing w:after="40" w:before="40"/>
      </w:pPr>
      <w:r>
        <w:rPr>
          <w:rFonts w:ascii="Arial" w:cs="Arial" w:eastAsia="Arial" w:hAnsi="Arial"/>
          <w:sz w:val="20"/>
          <w:szCs w:val="20"/>
        </w:rPr>
        <w:t xml:space="preserve">Fallback: sheet_index + row_index + catalog_code</w:t>
      </w:r>
    </w:p>
    <w:p>
      <w:pPr>
        <w:pStyle w:val="ListParagraph"/>
        <w:numPr>
          <w:ilvl w:val="1"/>
          <w:numId w:val="2"/>
        </w:numPr>
        <w:spacing w:after="40" w:before="40"/>
      </w:pPr>
      <w:r>
        <w:rPr>
          <w:rFonts w:ascii="Arial" w:cs="Arial" w:eastAsia="Arial" w:hAnsi="Arial"/>
          <w:sz w:val="20"/>
          <w:szCs w:val="20"/>
        </w:rPr>
        <w:t xml:space="preserve">Last resort: fuzzy match on description + code + unit</w:t>
      </w:r>
    </w:p>
    <w:p>
      <w:pPr>
        <w:pStyle w:val="ListParagraph"/>
        <w:numPr>
          <w:ilvl w:val="0"/>
          <w:numId w:val="5"/>
        </w:numPr>
        <w:spacing w:after="40" w:before="40"/>
      </w:pPr>
      <w:r>
        <w:rPr>
          <w:rFonts w:ascii="Arial" w:cs="Arial" w:eastAsia="Arial" w:hAnsi="Arial"/>
          <w:sz w:val="20"/>
          <w:szCs w:val="20"/>
        </w:rPr>
        <w:t xml:space="preserve">Matched positions: update qty/price fields, preserve calculation payloads</w:t>
      </w:r>
    </w:p>
    <w:p>
      <w:pPr>
        <w:pStyle w:val="ListParagraph"/>
        <w:numPr>
          <w:ilvl w:val="0"/>
          <w:numId w:val="5"/>
        </w:numPr>
        <w:spacing w:after="40" w:before="40"/>
      </w:pPr>
      <w:r>
        <w:rPr>
          <w:rFonts w:ascii="Arial" w:cs="Arial" w:eastAsia="Arial" w:hAnsi="Arial"/>
          <w:sz w:val="20"/>
          <w:szCs w:val="20"/>
        </w:rPr>
        <w:t xml:space="preserve">Unmatched new positions: create new PositionInstances</w:t>
      </w:r>
    </w:p>
    <w:p>
      <w:pPr>
        <w:pStyle w:val="ListParagraph"/>
        <w:numPr>
          <w:ilvl w:val="0"/>
          <w:numId w:val="5"/>
        </w:numPr>
        <w:spacing w:after="40" w:before="40"/>
      </w:pPr>
      <w:r>
        <w:rPr>
          <w:rFonts w:ascii="Arial" w:cs="Arial" w:eastAsia="Arial" w:hAnsi="Arial"/>
          <w:sz w:val="20"/>
          <w:szCs w:val="20"/>
        </w:rPr>
        <w:t xml:space="preserve">Unmatched old positions: mark as orphaned (soft delete, keep data)</w:t>
      </w:r>
    </w:p>
    <w:p>
      <w:pPr>
        <w:pStyle w:val="ListParagraph"/>
        <w:numPr>
          <w:ilvl w:val="0"/>
          <w:numId w:val="5"/>
        </w:numPr>
        <w:spacing w:after="40" w:before="40"/>
      </w:pPr>
      <w:r>
        <w:rPr>
          <w:rFonts w:ascii="Arial" w:cs="Arial" w:eastAsia="Arial" w:hAnsi="Arial"/>
          <w:sz w:val="20"/>
          <w:szCs w:val="20"/>
        </w:rPr>
        <w:t xml:space="preserve">Generate relink report showing all changes for user review</w:t>
      </w:r>
    </w:p>
    <w:p>
      <w:pPr>
        <w:pStyle w:val="Heading2"/>
        <w:spacing w:after="120" w:before="240"/>
      </w:pPr>
      <w:r>
        <w:rPr>
          <w:rFonts w:ascii="Arial" w:cs="Arial" w:eastAsia="Arial" w:hAnsi="Arial"/>
        </w:rPr>
        <w:t xml:space="preserve">8.2 Conflict Resolution</w:t>
      </w:r>
    </w:p>
    <w:p>
      <w:pPr>
        <w:spacing w:after="80" w:before="80"/>
      </w:pPr>
      <w:r>
        <w:rPr>
          <w:rFonts w:ascii="Arial" w:cs="Arial" w:eastAsia="Arial" w:hAnsi="Arial"/>
          <w:color w:val="333333"/>
          <w:sz w:val="22"/>
          <w:szCs w:val="22"/>
        </w:rPr>
        <w:t xml:space="preserve">If qty changed significantly (&gt;20% delta), flag the position for recalculation review. Monolit/DOV payloads are preserved but marked as potentially_stale: true.</w:t>
      </w:r>
    </w:p>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9. Implementation Plan (2 Stages)</w:t>
      </w:r>
    </w:p>
    <w:p>
      <w:pPr>
        <w:pStyle w:val="Heading2"/>
        <w:spacing w:after="120" w:before="240"/>
      </w:pPr>
      <w:r>
        <w:rPr>
          <w:rFonts w:ascii="Arial" w:cs="Arial" w:eastAsia="Arial" w:hAnsi="Arial"/>
        </w:rPr>
        <w:t xml:space="preserve">9.1 Stage 1: Connect Kiosks Now</w:t>
      </w:r>
    </w:p>
    <w:p>
      <w:pPr>
        <w:spacing w:after="80" w:before="80"/>
      </w:pPr>
      <w:r>
        <w:rPr>
          <w:rFonts w:ascii="Arial" w:cs="Arial" w:eastAsia="Arial" w:hAnsi="Arial"/>
          <w:color w:val="333333"/>
          <w:sz w:val="22"/>
          <w:szCs w:val="22"/>
        </w:rPr>
        <w:t xml:space="preserve">Minimum viable integration without over-engineering. Goal: positions flow between kiosks.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53"/>
        <w:gridCol w:w="2253"/>
        <w:gridCol w:w="2200"/>
      </w:tblGrid>
      <w:tr>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4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2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Create Project Registry (DB tables + CRUD API)</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3-4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C0392B"/>
                <w:sz w:val="20"/>
                <w:szCs w:val="20"/>
              </w:rPr>
              <w:t xml:space="preserve">CRITICAL</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44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Implement PositionInstance model and parser output</w:t>
            </w:r>
          </w:p>
        </w:tc>
        <w:tc>
          <w:tcPr>
            <w:tcW w:type="dxa" w:w="22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2-3 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C0392B"/>
                <w:sz w:val="20"/>
                <w:szCs w:val="20"/>
              </w:rPr>
              <w:t xml:space="preserve">CRITICAL</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Refactor Monolit Planner to work via position_instance_id</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3-5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C0392B"/>
                <w:sz w:val="20"/>
                <w:szCs w:val="20"/>
              </w:rPr>
              <w:t xml:space="preserve">CRITICAL</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44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Add monolith_payload write-back to PositionInstance</w:t>
            </w:r>
          </w:p>
        </w:tc>
        <w:tc>
          <w:tcPr>
            <w:tcW w:type="dxa" w:w="22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1-2 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C0392B"/>
                <w:sz w:val="20"/>
                <w:szCs w:val="20"/>
              </w:rPr>
              <w:t xml:space="preserve">CRITICAL</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Unified upload flow (any kiosk -&gt; Project Registry)</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2-3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E67E22"/>
                <w:sz w:val="20"/>
                <w:szCs w:val="20"/>
              </w:rPr>
              <w:t xml:space="preserve">HIGH</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44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Deep links between kiosks (project_id + position_id)</w:t>
            </w:r>
          </w:p>
        </w:tc>
        <w:tc>
          <w:tcPr>
            <w:tcW w:type="dxa" w:w="22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1-2 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E67E22"/>
                <w:sz w:val="20"/>
                <w:szCs w:val="20"/>
              </w:rPr>
              <w:t xml:space="preserve">HIGH</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7</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Basic position filter API (by work_category, object_id)</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1-2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E67E22"/>
                <w:sz w:val="20"/>
                <w:szCs w:val="20"/>
              </w:rPr>
              <w:t xml:space="preserve">HIGH</w:t>
            </w:r>
          </w:p>
        </w:tc>
      </w:tr>
    </w:tbl>
    <w:p>
      <w:pPr>
        <w:spacing w:after="80" w:before="80"/>
      </w:pPr>
      <w:r>
        <w:rPr>
          <w:rFonts w:ascii="Arial" w:cs="Arial" w:eastAsia="Arial" w:hAnsi="Arial"/>
          <w:b/>
          <w:bCs/>
          <w:color w:val="2980B9"/>
          <w:sz w:val="22"/>
          <w:szCs w:val="22"/>
        </w:rPr>
        <w:t xml:space="preserve">Stage 1 total estimate: 2-3 weeks</w:t>
      </w:r>
    </w:p>
    <w:p>
      <w:pPr>
        <w:pStyle w:val="Heading2"/>
        <w:spacing w:after="120" w:before="240"/>
      </w:pPr>
      <w:r>
        <w:rPr>
          <w:rFonts w:ascii="Arial" w:cs="Arial" w:eastAsia="Arial" w:hAnsi="Arial"/>
        </w:rPr>
        <w:t xml:space="preserve">9.2 Stage 2: Make It Production-Ready</w:t>
      </w:r>
    </w:p>
    <w:p>
      <w:pPr>
        <w:spacing w:after="80" w:before="80"/>
      </w:pPr>
      <w:r>
        <w:rPr>
          <w:rFonts w:ascii="Arial" w:cs="Arial" w:eastAsia="Arial" w:hAnsi="Arial"/>
          <w:color w:val="333333"/>
          <w:sz w:val="22"/>
          <w:szCs w:val="22"/>
        </w:rPr>
        <w:t xml:space="preserve">For reliable use by 10-15 users in a construction firm.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53"/>
        <w:gridCol w:w="2253"/>
        <w:gridCol w:w="2200"/>
      </w:tblGrid>
      <w:tr>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4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22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FileVersion system + relink mechanism</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3-4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E67E22"/>
                <w:sz w:val="20"/>
                <w:szCs w:val="20"/>
              </w:rPr>
              <w:t xml:space="preserve">HIGH</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44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Template system (save/apply/confidence scoring)</w:t>
            </w:r>
          </w:p>
        </w:tc>
        <w:tc>
          <w:tcPr>
            <w:tcW w:type="dxa" w:w="22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4-5 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E67E22"/>
                <w:sz w:val="20"/>
                <w:szCs w:val="20"/>
              </w:rPr>
              <w:t xml:space="preserve">HIGH</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Activity-Role mapping table + UI</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2-3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980B9"/>
                <w:sz w:val="20"/>
                <w:szCs w:val="20"/>
              </w:rPr>
              <w:t xml:space="preserve">MEDIUM</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44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Relink report and conflict resolution UI</w:t>
            </w:r>
          </w:p>
        </w:tc>
        <w:tc>
          <w:tcPr>
            <w:tcW w:type="dxa" w:w="22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2-3 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980B9"/>
                <w:sz w:val="20"/>
                <w:szCs w:val="20"/>
              </w:rPr>
              <w:t xml:space="preserve">MEDIUM</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5</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Apply logs (provenance tracking: who, when, why)</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1-2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980B9"/>
                <w:sz w:val="20"/>
                <w:szCs w:val="20"/>
              </w:rPr>
              <w:t xml:space="preserve">MEDIUM</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44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PostgreSQL RLS for multi-tenant access control</w:t>
            </w:r>
          </w:p>
        </w:tc>
        <w:tc>
          <w:tcPr>
            <w:tcW w:type="dxa" w:w="22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2-3 days</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980B9"/>
                <w:sz w:val="20"/>
                <w:szCs w:val="20"/>
              </w:rPr>
              <w:t xml:space="preserve">MEDIUM</w:t>
            </w:r>
          </w:p>
        </w:tc>
      </w:tr>
      <w:tr>
        <w:tc>
          <w:tcPr>
            <w:tcW w:type="dxa" w:w="6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7</w:t>
            </w:r>
          </w:p>
        </w:tc>
        <w:tc>
          <w:tcPr>
            <w:tcW w:type="dxa" w:w="44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DOV kiosk integration via position_instance_id</w:t>
            </w:r>
          </w:p>
        </w:tc>
        <w:tc>
          <w:tcPr>
            <w:tcW w:type="dxa" w:w="22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2-3 days</w:t>
            </w:r>
          </w:p>
        </w:tc>
        <w:tc>
          <w:tcPr>
            <w:tcW w:type="dxa" w:w="2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E67E22"/>
                <w:sz w:val="20"/>
                <w:szCs w:val="20"/>
              </w:rPr>
              <w:t xml:space="preserve">HIGH</w:t>
            </w:r>
          </w:p>
        </w:tc>
      </w:tr>
    </w:tbl>
    <w:p>
      <w:pPr>
        <w:spacing w:after="80" w:before="80"/>
      </w:pPr>
      <w:r>
        <w:rPr>
          <w:rFonts w:ascii="Arial" w:cs="Arial" w:eastAsia="Arial" w:hAnsi="Arial"/>
          <w:b/>
          <w:bCs/>
          <w:color w:val="2980B9"/>
          <w:sz w:val="22"/>
          <w:szCs w:val="22"/>
        </w:rPr>
        <w:t xml:space="preserve">Stage 2 total estimate: 3-4 weeks</w:t>
      </w:r>
    </w:p>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10. Key Architectural Decisions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31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Chosen Approach</w:t>
            </w:r>
          </w:p>
        </w:tc>
        <w:tc>
          <w:tcPr>
            <w:tcW w:type="dxa" w:w="3153"/>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3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C3E50"/>
                <w:sz w:val="20"/>
                <w:szCs w:val="20"/>
              </w:rPr>
              <w:t xml:space="preserve">Where to import files</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Any kiosk (UI), but always through Project Registry (logic)</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Convenience + data integrity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Position identity</w:t>
            </w:r>
          </w:p>
        </w:tc>
        <w:tc>
          <w:tcPr>
            <w:tcW w:type="dxa" w:w="31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Two layers: Instance ID (per line) + Template ID (reusable)</w:t>
            </w:r>
          </w:p>
        </w:tc>
        <w:tc>
          <w:tcPr>
            <w:tcW w:type="dxa" w:w="31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Same code on different sheets must be distinguishable</w:t>
            </w:r>
          </w:p>
        </w:tc>
      </w:tr>
      <w:tr>
        <w:tc>
          <w:tcPr>
            <w:tcW w:type="dxa" w:w="3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C3E50"/>
                <w:sz w:val="20"/>
                <w:szCs w:val="20"/>
              </w:rPr>
              <w:t xml:space="preserve">How kiosks share data</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JSONB payload fields on PositionInstance</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Flexible, no schema migrations for new calc types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Template application</w:t>
            </w:r>
          </w:p>
        </w:tc>
        <w:tc>
          <w:tcPr>
            <w:tcW w:type="dxa" w:w="31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Manual with confidence scoring (GREEN/AMBER/RED)</w:t>
            </w:r>
          </w:p>
        </w:tc>
        <w:tc>
          <w:tcPr>
            <w:tcW w:type="dxa" w:w="31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Prevents silent data corruption across objects</w:t>
            </w:r>
          </w:p>
        </w:tc>
      </w:tr>
      <w:tr>
        <w:tc>
          <w:tcPr>
            <w:tcW w:type="dxa" w:w="3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C3E50"/>
                <w:sz w:val="20"/>
                <w:szCs w:val="20"/>
              </w:rPr>
              <w:t xml:space="preserve">File update handling</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Relink algorithm with orphan preservation</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Protects existing calculations from accidental loss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b/>
                <w:bCs/>
                <w:color w:val="2C3E50"/>
                <w:sz w:val="20"/>
                <w:szCs w:val="20"/>
              </w:rPr>
              <w:t xml:space="preserve">Activity vs Role</w:t>
            </w:r>
          </w:p>
        </w:tc>
        <w:tc>
          <w:tcPr>
            <w:tcW w:type="dxa" w:w="31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Separate entities with mapping table + coefficients</w:t>
            </w:r>
          </w:p>
        </w:tc>
        <w:tc>
          <w:tcPr>
            <w:tcW w:type="dxa" w:w="3153"/>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Different vocabularies serve different purposes</w:t>
            </w:r>
          </w:p>
        </w:tc>
      </w:tr>
      <w:tr>
        <w:tc>
          <w:tcPr>
            <w:tcW w:type="dxa" w:w="3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b/>
                <w:bCs/>
                <w:color w:val="2C3E50"/>
                <w:sz w:val="20"/>
                <w:szCs w:val="20"/>
              </w:rPr>
              <w:t xml:space="preserve">Scaling on template apply</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Per-resource: linear/fixed/manual</w:t>
            </w:r>
          </w:p>
        </w:tc>
        <w:tc>
          <w:tcPr>
            <w:tcW w:type="dxa" w:w="3153"/>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color w:val="333333"/>
                <w:sz w:val="20"/>
                <w:szCs w:val="20"/>
              </w:rPr>
              <w:t xml:space="preserve">Not everything scales linearly with quantity</w:t>
            </w:r>
          </w:p>
        </w:tc>
      </w:tr>
    </w:tbl>
    <w:p>
      <w:pPr>
        <w:pBdr>
          <w:bottom w:val="single" w:color="2980B9" w:sz="2"/>
        </w:pBdr>
        <w:spacing w:after="200" w:before="200"/>
      </w:pPr>
      <w:r>
        <w:rPr>
          <w:rFonts w:ascii="Arial" w:cs="Arial" w:eastAsia="Arial" w:hAnsi="Arial"/>
          <w:sz w:val="4"/>
          <w:szCs w:val="4"/>
        </w:rPr>
        <w:t xml:space="preserve"/>
      </w:r>
    </w:p>
    <w:p>
      <w:pPr>
        <w:pStyle w:val="Heading1"/>
        <w:spacing w:after="120" w:before="360"/>
      </w:pPr>
      <w:r>
        <w:rPr>
          <w:rFonts w:ascii="Arial" w:cs="Arial" w:eastAsia="Arial" w:hAnsi="Arial"/>
        </w:rPr>
        <w:t xml:space="preserve">11. Success Criteria</w:t>
      </w:r>
    </w:p>
    <w:p>
      <w:pPr>
        <w:spacing w:after="80" w:before="80"/>
      </w:pPr>
      <w:r>
        <w:rPr>
          <w:rFonts w:ascii="Arial" w:cs="Arial" w:eastAsia="Arial" w:hAnsi="Arial"/>
          <w:color w:val="333333"/>
          <w:sz w:val="22"/>
          <w:szCs w:val="22"/>
        </w:rPr>
        <w:t xml:space="preserve">Stage 1 is complete when:</w:t>
      </w:r>
    </w:p>
    <w:p>
      <w:pPr>
        <w:pStyle w:val="ListParagraph"/>
        <w:numPr>
          <w:ilvl w:val="0"/>
          <w:numId w:val="6"/>
        </w:numPr>
        <w:spacing w:after="40" w:before="40"/>
      </w:pPr>
      <w:r>
        <w:rPr>
          <w:rFonts w:ascii="Arial" w:cs="Arial" w:eastAsia="Arial" w:hAnsi="Arial"/>
          <w:sz w:val="20"/>
          <w:szCs w:val="20"/>
        </w:rPr>
        <w:t xml:space="preserve">A position parsed in Rozpocet Registry can be opened in Monolit Planner by ID</w:t>
      </w:r>
    </w:p>
    <w:p>
      <w:pPr>
        <w:pStyle w:val="ListParagraph"/>
        <w:numPr>
          <w:ilvl w:val="0"/>
          <w:numId w:val="6"/>
        </w:numPr>
        <w:spacing w:after="40" w:before="40"/>
      </w:pPr>
      <w:r>
        <w:rPr>
          <w:rFonts w:ascii="Arial" w:cs="Arial" w:eastAsia="Arial" w:hAnsi="Arial"/>
          <w:sz w:val="20"/>
          <w:szCs w:val="20"/>
        </w:rPr>
        <w:t xml:space="preserve">Monolit calculation results appear in Rozpocet view without manual transfer</w:t>
      </w:r>
    </w:p>
    <w:p>
      <w:pPr>
        <w:pStyle w:val="ListParagraph"/>
        <w:numPr>
          <w:ilvl w:val="0"/>
          <w:numId w:val="6"/>
        </w:numPr>
        <w:spacing w:after="40" w:before="40"/>
      </w:pPr>
      <w:r>
        <w:rPr>
          <w:rFonts w:ascii="Arial" w:cs="Arial" w:eastAsia="Arial" w:hAnsi="Arial"/>
          <w:sz w:val="20"/>
          <w:szCs w:val="20"/>
        </w:rPr>
        <w:t xml:space="preserve">Same catalog code on different sheets maintains separate calculations</w:t>
      </w:r>
    </w:p>
    <w:p>
      <w:pPr>
        <w:pStyle w:val="ListParagraph"/>
        <w:numPr>
          <w:ilvl w:val="0"/>
          <w:numId w:val="6"/>
        </w:numPr>
        <w:spacing w:after="40" w:before="40"/>
      </w:pPr>
      <w:r>
        <w:rPr>
          <w:rFonts w:ascii="Arial" w:cs="Arial" w:eastAsia="Arial" w:hAnsi="Arial"/>
          <w:sz w:val="20"/>
          <w:szCs w:val="20"/>
        </w:rPr>
        <w:t xml:space="preserve">File re-upload preserves existing Monolit results for unchanged positions</w:t>
      </w:r>
    </w:p>
    <w:p>
      <w:pPr>
        <w:pStyle w:val="ListParagraph"/>
        <w:numPr>
          <w:ilvl w:val="0"/>
          <w:numId w:val="6"/>
        </w:numPr>
        <w:spacing w:after="40" w:before="40"/>
      </w:pPr>
      <w:r>
        <w:rPr>
          <w:rFonts w:ascii="Arial" w:cs="Arial" w:eastAsia="Arial" w:hAnsi="Arial"/>
          <w:sz w:val="20"/>
          <w:szCs w:val="20"/>
        </w:rPr>
        <w:t xml:space="preserve">All kiosk uploads route through unified Project Registry</w:t>
      </w:r>
    </w:p>
    <w:p>
      <w:pPr>
        <w:spacing w:before="300"/>
      </w:pPr>
    </w:p>
    <w:p>
      <w:pPr>
        <w:pBdr>
          <w:top w:val="single" w:color="2980B9" w:sz="2"/>
        </w:pBdr>
        <w:spacing w:before="200"/>
        <w:jc w:val="center"/>
      </w:pPr>
      <w:r>
        <w:rPr>
          <w:rFonts w:ascii="Arial" w:cs="Arial" w:eastAsia="Arial" w:hAnsi="Arial"/>
          <w:i/>
          <w:iCs/>
          <w:color w:val="7F8C8D"/>
          <w:sz w:val="20"/>
          <w:szCs w:val="20"/>
        </w:rPr>
        <w:t xml:space="preserve">End of Technical Task</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980B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2026-02-27T04:42:56.583Z</dcterms:created>
  <dcterms:modified xsi:type="dcterms:W3CDTF">2026-02-27T04:42:56.584Z</dcterms:modified>
</cp:coreProperties>
</file>

<file path=docProps/custom.xml><?xml version="1.0" encoding="utf-8"?>
<Properties xmlns="http://schemas.openxmlformats.org/officeDocument/2006/custom-properties" xmlns:vt="http://schemas.openxmlformats.org/officeDocument/2006/docPropsVTypes"/>
</file>