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a_clean_graphic_logo_image_on_a_transparent_backgr.png"/>
                    <pic:cNvPicPr/>
                  </pic:nvPicPr>
                  <pic:blipFill>
                    <a:blip r:embed="rId9"/>
                    <a:stretch>
                      <a:fillRect/>
                    </a:stretch>
                  </pic:blipFill>
                  <pic:spPr>
                    <a:xfrm>
                      <a:off x="0" y="0"/>
                      <a:ext cx="1508760" cy="1508760"/>
                    </a:xfrm>
                    <a:prstGeom prst="rect"/>
                  </pic:spPr>
                </pic:pic>
              </a:graphicData>
            </a:graphic>
          </wp:inline>
        </w:drawing>
      </w:r>
    </w:p>
    <w:p>
      <w:pPr>
        <w:jc w:val="center"/>
      </w:pPr>
      <w:r>
        <w:rPr>
          <w:rFonts w:ascii="Montserrat" w:hAnsi="Montserrat"/>
          <w:color w:val="241820"/>
          <w:sz w:val="50"/>
        </w:rPr>
        <w:t>B E M A R A</w:t>
      </w:r>
    </w:p>
    <w:p>
      <w:pPr>
        <w:jc w:val="center"/>
      </w:pPr>
      <w:r>
        <w:rPr>
          <w:rFonts w:ascii="Questrial" w:hAnsi="Questrial"/>
          <w:i/>
          <w:color w:val="5B3443"/>
          <w:sz w:val="34"/>
        </w:rPr>
        <w:t>Toda tú. Con claridad.</w:t>
      </w:r>
    </w:p>
    <w:p/>
    <w:p>
      <w:pPr>
        <w:jc w:val="center"/>
      </w:pPr>
      <w:r>
        <w:rPr>
          <w:rFonts w:ascii="Montserrat" w:hAnsi="Montserrat"/>
          <w:b/>
          <w:color w:val="241820"/>
          <w:sz w:val="26"/>
        </w:rPr>
        <w:t>MANIFIESTO MAESTRO DE PRODUCTO Y DESARROLLO</w:t>
      </w:r>
    </w:p>
    <w:p>
      <w:pPr>
        <w:jc w:val="center"/>
      </w:pPr>
      <w:r>
        <w:rPr>
          <w:color w:val="9C7B85"/>
          <w:sz w:val="22"/>
        </w:rPr>
        <w:t>Especificación fuente de verdad para Codex</w:t>
      </w:r>
    </w:p>
    <w:p/>
    <w:tbl>
      <w:tblPr>
        <w:tblW w:type="auto" w:w="0"/>
        <w:jc w:val="center"/>
        <w:tblLayout w:type="fixed"/>
        <w:tblLook w:firstColumn="1" w:firstRow="1" w:lastColumn="0" w:lastRow="0" w:noHBand="0" w:noVBand="1" w:val="04A0"/>
      </w:tblPr>
      <w:tblGrid>
        <w:gridCol w:w="2448"/>
        <w:gridCol w:w="6480"/>
      </w:tblGrid>
      <w:tr>
        <w:tc>
          <w:tcPr>
            <w:tcW w:type="dxa" w:w="5083"/>
            <w:shd w:fill="F2E9E2"/>
            <w:tcBorders>
              <w:bottom w:val="single" w:sz="4" w:color="E2D4CF"/>
            </w:tcBorders>
          </w:tcPr>
          <w:p>
            <w:r>
              <w:rPr>
                <w:rFonts w:ascii="Montserrat" w:hAnsi="Montserrat"/>
                <w:b/>
                <w:color w:val="5B3443"/>
                <w:sz w:val="16"/>
              </w:rPr>
              <w:t>VERSIÓN</w:t>
            </w:r>
          </w:p>
        </w:tc>
        <w:tc>
          <w:tcPr>
            <w:tcW w:type="dxa" w:w="5083"/>
            <w:shd w:fill="F7F1ED"/>
            <w:tcBorders>
              <w:bottom w:val="single" w:sz="4" w:color="E2D4CF"/>
            </w:tcBorders>
          </w:tcPr>
          <w:p>
            <w:r>
              <w:rPr>
                <w:color w:val="2B2228"/>
                <w:sz w:val="18"/>
              </w:rPr>
              <w:t>1.0</w:t>
            </w:r>
          </w:p>
        </w:tc>
      </w:tr>
      <w:tr>
        <w:tc>
          <w:tcPr>
            <w:tcW w:type="dxa" w:w="5083"/>
            <w:shd w:fill="F2E9E2"/>
            <w:tcBorders>
              <w:bottom w:val="single" w:sz="4" w:color="E2D4CF"/>
            </w:tcBorders>
          </w:tcPr>
          <w:p>
            <w:r>
              <w:rPr>
                <w:rFonts w:ascii="Montserrat" w:hAnsi="Montserrat"/>
                <w:b/>
                <w:color w:val="5B3443"/>
                <w:sz w:val="16"/>
              </w:rPr>
              <w:t>FECHA</w:t>
            </w:r>
          </w:p>
        </w:tc>
        <w:tc>
          <w:tcPr>
            <w:tcW w:type="dxa" w:w="5083"/>
            <w:shd w:fill="F7F1ED"/>
            <w:tcBorders>
              <w:bottom w:val="single" w:sz="4" w:color="E2D4CF"/>
            </w:tcBorders>
          </w:tcPr>
          <w:p>
            <w:r>
              <w:rPr>
                <w:color w:val="2B2228"/>
                <w:sz w:val="18"/>
              </w:rPr>
              <w:t>1 septiembre 2026</w:t>
            </w:r>
          </w:p>
        </w:tc>
      </w:tr>
      <w:tr>
        <w:tc>
          <w:tcPr>
            <w:tcW w:type="dxa" w:w="5083"/>
            <w:shd w:fill="F2E9E2"/>
            <w:tcBorders>
              <w:bottom w:val="single" w:sz="4" w:color="E2D4CF"/>
            </w:tcBorders>
          </w:tcPr>
          <w:p>
            <w:r>
              <w:rPr>
                <w:rFonts w:ascii="Montserrat" w:hAnsi="Montserrat"/>
                <w:b/>
                <w:color w:val="5B3443"/>
                <w:sz w:val="16"/>
              </w:rPr>
              <w:t>MERCADO INICIAL</w:t>
            </w:r>
          </w:p>
        </w:tc>
        <w:tc>
          <w:tcPr>
            <w:tcW w:type="dxa" w:w="5083"/>
            <w:shd w:fill="F7F1ED"/>
            <w:tcBorders>
              <w:bottom w:val="single" w:sz="4" w:color="E2D4CF"/>
            </w:tcBorders>
          </w:tcPr>
          <w:p>
            <w:r>
              <w:rPr>
                <w:color w:val="2B2228"/>
                <w:sz w:val="18"/>
              </w:rPr>
              <w:t>México · es-MX / en-US</w:t>
            </w:r>
          </w:p>
        </w:tc>
      </w:tr>
      <w:tr>
        <w:tc>
          <w:tcPr>
            <w:tcW w:type="dxa" w:w="5083"/>
            <w:shd w:fill="F2E9E2"/>
            <w:tcBorders>
              <w:bottom w:val="single" w:sz="4" w:color="E2D4CF"/>
            </w:tcBorders>
          </w:tcPr>
          <w:p>
            <w:r>
              <w:rPr>
                <w:rFonts w:ascii="Montserrat" w:hAnsi="Montserrat"/>
                <w:b/>
                <w:color w:val="5B3443"/>
                <w:sz w:val="16"/>
              </w:rPr>
              <w:t>ECOSISTEMA</w:t>
            </w:r>
          </w:p>
        </w:tc>
        <w:tc>
          <w:tcPr>
            <w:tcW w:type="dxa" w:w="5083"/>
            <w:shd w:fill="F7F1ED"/>
            <w:tcBorders>
              <w:bottom w:val="single" w:sz="4" w:color="E2D4CF"/>
            </w:tcBorders>
          </w:tcPr>
          <w:p>
            <w:r>
              <w:rPr>
                <w:color w:val="2B2228"/>
                <w:sz w:val="18"/>
              </w:rPr>
              <w:t>Mobile · Personal/PWA · bemara.me · Operations</w:t>
            </w:r>
          </w:p>
        </w:tc>
      </w:tr>
    </w:tbl>
    <w:p>
      <w:pPr>
        <w:spacing w:before="360"/>
        <w:jc w:val="center"/>
      </w:pPr>
      <w:r>
        <w:rPr>
          <w:rFonts w:ascii="Montserrat" w:hAnsi="Montserrat"/>
          <w:color w:val="9C7B85"/>
          <w:sz w:val="16"/>
        </w:rPr>
        <w:t>CONFIDENCIAL · BEMARA / ALQIA</w:t>
      </w:r>
    </w:p>
    <w:p>
      <w:r>
        <w:br w:type="page"/>
      </w:r>
    </w:p>
    <w:p>
      <w:pPr>
        <w:pStyle w:val="Eyebrow"/>
      </w:pPr>
      <w:r>
        <w:t>INSTRUCCIÓN PRINCIPAL PARA CODEX</w:t>
      </w:r>
    </w:p>
    <w:tbl>
      <w:tblPr>
        <w:tblW w:type="auto" w:w="0"/>
        <w:jc w:val="center"/>
        <w:tblLook w:firstColumn="1" w:firstRow="1" w:lastColumn="0" w:lastRow="0" w:noHBand="0" w:noVBand="1" w:val="04A0"/>
      </w:tblPr>
      <w:tblGrid>
        <w:gridCol w:w="10166"/>
      </w:tblGrid>
      <w:tr>
        <w:tc>
          <w:tcPr>
            <w:tcW w:type="dxa" w:w="10166"/>
            <w:shd w:fill="F2E9E2"/>
            <w:tcBorders>
              <w:left w:val="single" w:sz="18" w:color="5B3443"/>
            </w:tcBorders>
          </w:tcPr>
          <w:p>
            <w:pPr>
              <w:spacing w:after="0"/>
            </w:pPr>
            <w:r>
              <w:rPr>
                <w:color w:val="241820"/>
                <w:sz w:val="21"/>
              </w:rPr>
              <w:t>BEMARA debe construirse como una experiencia consumer premium, adaptativa y profundamente femenina. No convertirla en un CRM, ERP, dashboard administrativo ni chatbot genérico. Toda desviación de producto o arquitectura requiere autorización expresa.</w:t>
            </w:r>
          </w:p>
        </w:tc>
      </w:tr>
    </w:tbl>
    <w:p/>
    <w:p>
      <w:pPr>
        <w:pStyle w:val="Heading1"/>
      </w:pPr>
      <w:r>
        <w:t>Índice maestro</w:t>
      </w:r>
    </w:p>
    <w:p>
      <w:pPr>
        <w:spacing w:after="40"/>
        <w:ind w:left="173"/>
      </w:pPr>
      <w:r>
        <w:rPr>
          <w:color w:val="5B3443"/>
          <w:sz w:val="18"/>
        </w:rPr>
        <w:t>0. Fuente de verdad y propósito del documento</w:t>
      </w:r>
    </w:p>
    <w:p>
      <w:pPr>
        <w:spacing w:after="40"/>
        <w:ind w:left="173"/>
      </w:pPr>
      <w:r>
        <w:rPr>
          <w:color w:val="5B3443"/>
          <w:sz w:val="18"/>
        </w:rPr>
        <w:t>1. Identidad de producto</w:t>
      </w:r>
    </w:p>
    <w:p>
      <w:pPr>
        <w:spacing w:after="40"/>
        <w:ind w:left="173"/>
      </w:pPr>
      <w:r>
        <w:rPr>
          <w:color w:val="5B3443"/>
          <w:sz w:val="18"/>
        </w:rPr>
        <w:t>2. Personalidad de marca y sistema visual</w:t>
      </w:r>
    </w:p>
    <w:p>
      <w:pPr>
        <w:spacing w:after="40"/>
        <w:ind w:left="173"/>
      </w:pPr>
      <w:r>
        <w:rPr>
          <w:color w:val="5B3443"/>
          <w:sz w:val="18"/>
        </w:rPr>
        <w:t>3. Ecosistema BEMARA: superficies oficiales</w:t>
      </w:r>
    </w:p>
    <w:p>
      <w:pPr>
        <w:spacing w:after="40"/>
        <w:ind w:left="173"/>
      </w:pPr>
      <w:r>
        <w:rPr>
          <w:color w:val="5B3443"/>
          <w:sz w:val="18"/>
        </w:rPr>
        <w:t>4. Usuario objetivo, elegibilidad e inclusión</w:t>
      </w:r>
    </w:p>
    <w:p>
      <w:pPr>
        <w:spacing w:after="40"/>
        <w:ind w:left="173"/>
      </w:pPr>
      <w:r>
        <w:rPr>
          <w:color w:val="5B3443"/>
          <w:sz w:val="18"/>
        </w:rPr>
        <w:t>5. Arquitectura adaptativa: una plataforma distinta para cada mujer</w:t>
      </w:r>
    </w:p>
    <w:p>
      <w:pPr>
        <w:spacing w:after="40"/>
        <w:ind w:left="173"/>
      </w:pPr>
      <w:r>
        <w:rPr>
          <w:color w:val="5B3443"/>
          <w:sz w:val="18"/>
        </w:rPr>
        <w:t>6. Onboarding y Test BEMARA</w:t>
      </w:r>
    </w:p>
    <w:p>
      <w:pPr>
        <w:spacing w:after="40"/>
        <w:ind w:left="173"/>
      </w:pPr>
      <w:r>
        <w:rPr>
          <w:color w:val="5B3443"/>
          <w:sz w:val="18"/>
        </w:rPr>
        <w:t>7. Home adaptativo y navegación</w:t>
      </w:r>
    </w:p>
    <w:p>
      <w:pPr>
        <w:spacing w:after="40"/>
        <w:ind w:left="173"/>
      </w:pPr>
      <w:r>
        <w:rPr>
          <w:color w:val="5B3443"/>
          <w:sz w:val="18"/>
        </w:rPr>
        <w:t>8. Taxonomía funcional: dominios y subdominios</w:t>
      </w:r>
    </w:p>
    <w:p>
      <w:pPr>
        <w:spacing w:after="40"/>
        <w:ind w:left="173"/>
      </w:pPr>
      <w:r>
        <w:rPr>
          <w:color w:val="5B3443"/>
          <w:sz w:val="18"/>
        </w:rPr>
        <w:t>9. Especificación por dominio</w:t>
      </w:r>
    </w:p>
    <w:p>
      <w:pPr>
        <w:spacing w:after="40"/>
        <w:ind w:left="173"/>
      </w:pPr>
      <w:r>
        <w:rPr>
          <w:color w:val="5B3443"/>
          <w:sz w:val="18"/>
        </w:rPr>
        <w:t>10. LENA: inteligencia femenina de BEMARA</w:t>
      </w:r>
    </w:p>
    <w:p>
      <w:pPr>
        <w:spacing w:after="40"/>
        <w:ind w:left="173"/>
      </w:pPr>
      <w:r>
        <w:rPr>
          <w:color w:val="5B3443"/>
          <w:sz w:val="18"/>
        </w:rPr>
        <w:t>11. BEMARA Executive Layer</w:t>
      </w:r>
    </w:p>
    <w:p>
      <w:pPr>
        <w:spacing w:after="40"/>
        <w:ind w:left="173"/>
      </w:pPr>
      <w:r>
        <w:rPr>
          <w:color w:val="5B3443"/>
          <w:sz w:val="18"/>
        </w:rPr>
        <w:t>12. BEMARA Smart Mail y @bemara.me</w:t>
      </w:r>
    </w:p>
    <w:p>
      <w:pPr>
        <w:spacing w:after="40"/>
        <w:ind w:left="173"/>
      </w:pPr>
      <w:r>
        <w:rPr>
          <w:color w:val="5B3443"/>
          <w:sz w:val="18"/>
        </w:rPr>
        <w:t>13. Notification Intelligence</w:t>
      </w:r>
    </w:p>
    <w:p>
      <w:pPr>
        <w:spacing w:after="40"/>
        <w:ind w:left="173"/>
      </w:pPr>
      <w:r>
        <w:rPr>
          <w:color w:val="5B3443"/>
          <w:sz w:val="18"/>
        </w:rPr>
        <w:t>14. Life Graph: núcleo de contexto</w:t>
      </w:r>
    </w:p>
    <w:p>
      <w:pPr>
        <w:spacing w:after="40"/>
        <w:ind w:left="173"/>
      </w:pPr>
      <w:r>
        <w:rPr>
          <w:color w:val="5B3443"/>
          <w:sz w:val="18"/>
        </w:rPr>
        <w:t>15. Datos longitudinales, memoria y RAG</w:t>
      </w:r>
    </w:p>
    <w:p>
      <w:pPr>
        <w:spacing w:after="40"/>
        <w:ind w:left="173"/>
      </w:pPr>
      <w:r>
        <w:rPr>
          <w:color w:val="5B3443"/>
          <w:sz w:val="18"/>
        </w:rPr>
        <w:t>16. Big Data, correlaciones y predicción</w:t>
      </w:r>
    </w:p>
    <w:p>
      <w:pPr>
        <w:spacing w:after="40"/>
        <w:ind w:left="173"/>
      </w:pPr>
      <w:r>
        <w:rPr>
          <w:color w:val="5B3443"/>
          <w:sz w:val="18"/>
        </w:rPr>
        <w:t>17. Bilingual Mode / aprendizaje contextual</w:t>
      </w:r>
    </w:p>
    <w:p>
      <w:pPr>
        <w:spacing w:after="40"/>
        <w:ind w:left="173"/>
      </w:pPr>
      <w:r>
        <w:rPr>
          <w:color w:val="5B3443"/>
          <w:sz w:val="18"/>
        </w:rPr>
        <w:t>18. Privacidad, consentimiento y marco legal</w:t>
      </w:r>
    </w:p>
    <w:p>
      <w:pPr>
        <w:spacing w:after="40"/>
        <w:ind w:left="173"/>
      </w:pPr>
      <w:r>
        <w:rPr>
          <w:color w:val="5B3443"/>
          <w:sz w:val="18"/>
        </w:rPr>
        <w:t>19. Safety: límites médicos, psicológicos y financieros</w:t>
      </w:r>
    </w:p>
    <w:p>
      <w:pPr>
        <w:spacing w:after="40"/>
        <w:ind w:left="173"/>
      </w:pPr>
      <w:r>
        <w:rPr>
          <w:color w:val="5B3443"/>
          <w:sz w:val="18"/>
        </w:rPr>
        <w:t>20. Arquitectura técnica obligatoria</w:t>
      </w:r>
    </w:p>
    <w:p>
      <w:pPr>
        <w:spacing w:after="40"/>
        <w:ind w:left="173"/>
      </w:pPr>
      <w:r>
        <w:rPr>
          <w:color w:val="5B3443"/>
          <w:sz w:val="18"/>
        </w:rPr>
        <w:t>21. Arquitectura de seguridad</w:t>
      </w:r>
    </w:p>
    <w:p>
      <w:pPr>
        <w:spacing w:after="40"/>
        <w:ind w:left="173"/>
      </w:pPr>
      <w:r>
        <w:rPr>
          <w:color w:val="5B3443"/>
          <w:sz w:val="18"/>
        </w:rPr>
        <w:t>22. Pagos, planes y entitlements</w:t>
      </w:r>
    </w:p>
    <w:p>
      <w:pPr>
        <w:spacing w:after="40"/>
        <w:ind w:left="173"/>
      </w:pPr>
      <w:r>
        <w:rPr>
          <w:color w:val="5B3443"/>
          <w:sz w:val="18"/>
        </w:rPr>
        <w:t>23. Community y Clinical: feature flags futuros</w:t>
      </w:r>
    </w:p>
    <w:p>
      <w:pPr>
        <w:spacing w:after="40"/>
        <w:ind w:left="173"/>
      </w:pPr>
      <w:r>
        <w:rPr>
          <w:color w:val="5B3443"/>
          <w:sz w:val="18"/>
        </w:rPr>
        <w:t>24. Integraciones: orden y política</w:t>
      </w:r>
    </w:p>
    <w:p>
      <w:pPr>
        <w:spacing w:after="40"/>
        <w:ind w:left="173"/>
      </w:pPr>
      <w:r>
        <w:rPr>
          <w:color w:val="5B3443"/>
          <w:sz w:val="18"/>
        </w:rPr>
        <w:t>25. Diseño de gráficas e inteligencia visual</w:t>
      </w:r>
    </w:p>
    <w:p>
      <w:pPr>
        <w:spacing w:after="40"/>
        <w:ind w:left="173"/>
      </w:pPr>
      <w:r>
        <w:rPr>
          <w:color w:val="5B3443"/>
          <w:sz w:val="18"/>
        </w:rPr>
        <w:t>26. Analytics, observabilidad y costos</w:t>
      </w:r>
    </w:p>
    <w:p>
      <w:pPr>
        <w:spacing w:after="40"/>
        <w:ind w:left="173"/>
      </w:pPr>
      <w:r>
        <w:rPr>
          <w:color w:val="5B3443"/>
          <w:sz w:val="18"/>
        </w:rPr>
        <w:t>27. Coding standards y calidad</w:t>
      </w:r>
    </w:p>
    <w:p>
      <w:pPr>
        <w:spacing w:after="40"/>
        <w:ind w:left="173"/>
      </w:pPr>
      <w:r>
        <w:rPr>
          <w:color w:val="5B3443"/>
          <w:sz w:val="18"/>
        </w:rPr>
        <w:t>28. Fases de desarrollo</w:t>
      </w:r>
    </w:p>
    <w:p>
      <w:pPr>
        <w:spacing w:after="40"/>
        <w:ind w:left="173"/>
      </w:pPr>
      <w:r>
        <w:rPr>
          <w:color w:val="5B3443"/>
          <w:sz w:val="18"/>
        </w:rPr>
        <w:t>29. Criterios de aceptación de una capability</w:t>
      </w:r>
    </w:p>
    <w:p>
      <w:pPr>
        <w:spacing w:after="40"/>
        <w:ind w:left="173"/>
      </w:pPr>
      <w:r>
        <w:rPr>
          <w:color w:val="5B3443"/>
          <w:sz w:val="18"/>
        </w:rPr>
        <w:t>30. Prohibiciones explícitas para Codex</w:t>
      </w:r>
    </w:p>
    <w:p>
      <w:pPr>
        <w:spacing w:after="40"/>
        <w:ind w:left="173"/>
      </w:pPr>
      <w:r>
        <w:rPr>
          <w:color w:val="5B3443"/>
          <w:sz w:val="18"/>
        </w:rPr>
        <w:t>31. Configuración externa pendiente — se realizará con la propietaria después</w:t>
      </w:r>
    </w:p>
    <w:p>
      <w:pPr>
        <w:spacing w:after="40"/>
        <w:ind w:left="173"/>
      </w:pPr>
      <w:r>
        <w:rPr>
          <w:color w:val="5B3443"/>
          <w:sz w:val="18"/>
        </w:rPr>
        <w:t>32. Decisiones comerciales pendientes</w:t>
      </w:r>
    </w:p>
    <w:p>
      <w:pPr>
        <w:spacing w:after="40"/>
        <w:ind w:left="173"/>
      </w:pPr>
      <w:r>
        <w:rPr>
          <w:color w:val="5B3443"/>
          <w:sz w:val="18"/>
        </w:rPr>
        <w:t>33. Referencias y restricciones externas vigentes al corte</w:t>
      </w:r>
    </w:p>
    <w:p>
      <w:pPr>
        <w:spacing w:after="40"/>
        <w:ind w:left="173"/>
      </w:pPr>
      <w:r>
        <w:rPr>
          <w:color w:val="5B3443"/>
          <w:sz w:val="18"/>
        </w:rPr>
        <w:t>34. Inicio inmediato para Codex</w:t>
      </w:r>
    </w:p>
    <w:p>
      <w:r>
        <w:br w:type="page"/>
      </w:r>
    </w:p>
    <w:p>
      <w:pPr>
        <w:pStyle w:val="Heading1"/>
      </w:pPr>
      <w:r>
        <w:t>0. Fuente de verdad y propósito del documento</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REGLA PARA CODEX: cuando exista duda entre una solución SaaS genérica y la experiencia consumer premium definida para BEMARA, prevalece BEMARA.</w:t>
            </w:r>
          </w:p>
        </w:tc>
      </w:tr>
    </w:tbl>
    <w:p>
      <w:pPr>
        <w:spacing w:after="20"/>
      </w:pPr>
    </w:p>
    <w:p>
      <w:pPr>
        <w:keepLines w:val="0"/>
      </w:pPr>
      <w:r>
        <w:t>Este documento es la especificación maestra de BEMARA para producto, diseño, experiencia, inteligencia artificial, datos, seguridad, monetización técnica y desarrollo. Es la fuente de verdad que deberá utilizar Codex para iniciar la construcción. No es una presentación comercial ni un documento de ideación.</w:t>
      </w:r>
    </w:p>
    <w:p>
      <w:pPr>
        <w:keepLines w:val="0"/>
      </w:pPr>
      <w:r>
        <w:t>BEMARA no deberá reinterpretarse durante el desarrollo como un CRM, ERP, panel administrativo para consumidoras, chatbot con módulos, aplicación médica, marketplace clínico o conjunto de microapps. Cualquier superficie, rol, módulo o portal no descrito aquí se considera fuera de alcance y no deberá crearse sin autorización expresa.</w:t>
      </w:r>
    </w:p>
    <w:p>
      <w:pPr>
        <w:keepLines w:val="0"/>
      </w:pPr>
      <w:r>
        <w:t>La visión es deliberadamente amplia. La disciplina de desarrollo consiste en construir por capas y con arquitectura correcta, no en reducir la propuesta a un producto genérico. Una fase técnica no equivale a amputar la visión del producto.</w:t>
      </w:r>
    </w:p>
    <w:p>
      <w:pPr>
        <w:pStyle w:val="Heading1"/>
      </w:pPr>
      <w:r>
        <w:t>1. Identidad de producto</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Marca: BEMARA. Dominio principal: bemara.me. Slogan: “Toda tú. Con claridad.” Inteligencia femenina: LENA.</w:t>
      </w:r>
    </w:p>
    <w:p>
      <w:pPr>
        <w:keepLines w:val="0"/>
      </w:pPr>
      <w:r>
        <w:t>BEMARA es una plataforma personal integral diseñada alrededor de la vida completa de una mujer. Conecta cuerpo, mente, emociones, dinero, tiempo, responsabilidades, familia, relaciones, carrera, hogar, documentos, seguridad, metas y transiciones de vida bajo una sola inteligencia contextual.</w:t>
      </w:r>
    </w:p>
    <w:p>
      <w:pPr>
        <w:keepLines w:val="0"/>
      </w:pPr>
      <w:r>
        <w:t>La tesis de producto es simple: las aplicaciones existentes suelen conocer una parte de la mujer; BEMARA busca comprender las dimensiones relevantes de la misma mujer y cómo se relacionan entre sí, siempre bajo control y consentimiento de la usuaria.</w:t>
      </w:r>
    </w:p>
    <w:p>
      <w:pPr>
        <w:pStyle w:val="ListBullet"/>
        <w:spacing w:after="50"/>
        <w:ind w:left="317" w:hanging="173"/>
      </w:pPr>
      <w:r>
        <w:rPr>
          <w:color w:val="2B2228"/>
          <w:sz w:val="18"/>
        </w:rPr>
        <w:t>No es “otra app de salud femenina”.</w:t>
      </w:r>
    </w:p>
    <w:p>
      <w:pPr>
        <w:pStyle w:val="ListBullet"/>
        <w:spacing w:after="50"/>
        <w:ind w:left="317" w:hanging="173"/>
      </w:pPr>
      <w:r>
        <w:rPr>
          <w:color w:val="2B2228"/>
          <w:sz w:val="18"/>
        </w:rPr>
        <w:t>No es un Life OS genérico re-etiquetado para mujeres.</w:t>
      </w:r>
    </w:p>
    <w:p>
      <w:pPr>
        <w:pStyle w:val="ListBullet"/>
        <w:spacing w:after="50"/>
        <w:ind w:left="317" w:hanging="173"/>
      </w:pPr>
      <w:r>
        <w:rPr>
          <w:color w:val="2B2228"/>
          <w:sz w:val="18"/>
        </w:rPr>
        <w:t>No asume que mujer significa menstruar, ser madre, estar casada, ser heterosexual o tener una anatomía determinada.</w:t>
      </w:r>
    </w:p>
    <w:p>
      <w:pPr>
        <w:pStyle w:val="ListBullet"/>
        <w:spacing w:after="50"/>
        <w:ind w:left="317" w:hanging="173"/>
      </w:pPr>
      <w:r>
        <w:rPr>
          <w:color w:val="2B2228"/>
          <w:sz w:val="18"/>
        </w:rPr>
        <w:t>No exige que la usuaria administre 20 apps o capture datos de forma obsesiva.</w:t>
      </w:r>
    </w:p>
    <w:p>
      <w:pPr>
        <w:pStyle w:val="ListBullet"/>
        <w:spacing w:after="50"/>
        <w:ind w:left="317" w:hanging="173"/>
      </w:pPr>
      <w:r>
        <w:rPr>
          <w:color w:val="2B2228"/>
          <w:sz w:val="18"/>
        </w:rPr>
        <w:t>La IA debe reducir carga, generar claridad y ejecutar acciones útiles.</w:t>
      </w:r>
    </w:p>
    <w:p>
      <w:pPr>
        <w:pStyle w:val="Heading1"/>
      </w:pPr>
      <w:r>
        <w:t>2. Personalidad de marca y sistema visual</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Dirección interna de diseño: FEMININE AUTHORITY. Debe sentirse femenina, adulta, elegante, inteligente, tecnológica y con presencia. La feminidad proviene de proporción, tipografía, fotografía, textura, ritmo y color; no de clichés visuales.</w:t>
      </w:r>
    </w:p>
    <w:p>
      <w:pPr>
        <w:keepLines w:val="0"/>
      </w:pPr>
      <w:r>
        <w:t>El logotipo oficial utiliza el monograma B como símbolo principal. El wordmark es BEMARA. La B funciona también como icono de app, favicon y sello de identidad.</w:t>
      </w:r>
    </w:p>
    <w:p>
      <w:pPr>
        <w:pStyle w:val="ListBullet"/>
        <w:spacing w:after="50"/>
        <w:ind w:left="317" w:hanging="173"/>
      </w:pPr>
      <w:r>
        <w:rPr>
          <w:color w:val="2B2228"/>
          <w:sz w:val="18"/>
        </w:rPr>
        <w:t>Prohibido: rosa chicle, neón, ramitas, flores decorativas, úteros abstractos, corazoncitos como identidad, lunas “femtech”, estrellitas arbitrarias o estética wellness genérica.</w:t>
      </w:r>
    </w:p>
    <w:p>
      <w:pPr>
        <w:pStyle w:val="ListBullet"/>
        <w:spacing w:after="50"/>
        <w:ind w:left="317" w:hanging="173"/>
      </w:pPr>
      <w:r>
        <w:rPr>
          <w:color w:val="2B2228"/>
          <w:sz w:val="18"/>
        </w:rPr>
        <w:t>Prohibido: look de CRM/SaaS empresarial, sidebar persistente barato, grids de KPIs idénticos, tablas administrativas como Home o cards repetidas sin narrativa.</w:t>
      </w:r>
    </w:p>
    <w:p>
      <w:pPr>
        <w:pStyle w:val="ListBullet"/>
        <w:spacing w:after="50"/>
        <w:ind w:left="317" w:hanging="173"/>
      </w:pPr>
      <w:r>
        <w:rPr>
          <w:color w:val="2B2228"/>
          <w:sz w:val="18"/>
        </w:rPr>
        <w:t>Permitido: superficies editoriales, composición asimétrica controlada, respiración, contrastes profundos, data visualisation personalizada, microinteracciones elegantes y narrativa visual.</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241820"/>
            <w:vAlign w:val="center"/>
          </w:tcPr>
          <w:p>
            <w:r>
              <w:rPr>
                <w:b/>
                <w:color w:val="FFFFFF"/>
                <w:sz w:val="17"/>
              </w:rPr>
              <w:t>Token</w:t>
            </w:r>
          </w:p>
        </w:tc>
        <w:tc>
          <w:tcPr>
            <w:tcW w:type="dxa" w:w="3389"/>
            <w:shd w:fill="241820"/>
            <w:vAlign w:val="center"/>
          </w:tcPr>
          <w:p>
            <w:r>
              <w:rPr>
                <w:b/>
                <w:color w:val="FFFFFF"/>
                <w:sz w:val="17"/>
              </w:rPr>
              <w:t>HEX</w:t>
            </w:r>
          </w:p>
        </w:tc>
        <w:tc>
          <w:tcPr>
            <w:tcW w:type="dxa" w:w="3389"/>
            <w:shd w:fill="241820"/>
            <w:vAlign w:val="center"/>
          </w:tcPr>
          <w:p>
            <w:r>
              <w:rPr>
                <w:b/>
                <w:color w:val="FFFFFF"/>
                <w:sz w:val="17"/>
              </w:rPr>
              <w:t>Rol</w:t>
            </w:r>
          </w:p>
        </w:tc>
      </w:tr>
      <w:tr>
        <w:tc>
          <w:tcPr>
            <w:tcW w:type="dxa" w:w="3389"/>
            <w:shd w:fill="F7F1ED"/>
            <w:vAlign w:val="center"/>
            <w:tcBorders>
              <w:bottom w:val="single" w:sz="4" w:color="E2D4CF"/>
            </w:tcBorders>
          </w:tcPr>
          <w:p>
            <w:pPr>
              <w:spacing w:after="0"/>
            </w:pPr>
            <w:r>
              <w:rPr>
                <w:color w:val="2B2228"/>
                <w:sz w:val="17"/>
              </w:rPr>
              <w:t>Black Plum</w:t>
            </w:r>
          </w:p>
        </w:tc>
        <w:tc>
          <w:tcPr>
            <w:tcW w:type="dxa" w:w="3389"/>
            <w:shd w:fill="F7F1ED"/>
            <w:vAlign w:val="center"/>
            <w:tcBorders>
              <w:bottom w:val="single" w:sz="4" w:color="E2D4CF"/>
            </w:tcBorders>
          </w:tcPr>
          <w:p>
            <w:pPr>
              <w:spacing w:after="0"/>
            </w:pPr>
            <w:r>
              <w:rPr>
                <w:color w:val="2B2228"/>
                <w:sz w:val="17"/>
              </w:rPr>
              <w:t>#241820</w:t>
            </w:r>
          </w:p>
        </w:tc>
        <w:tc>
          <w:tcPr>
            <w:tcW w:type="dxa" w:w="3389"/>
            <w:shd w:fill="F7F1ED"/>
            <w:vAlign w:val="center"/>
            <w:tcBorders>
              <w:bottom w:val="single" w:sz="4" w:color="E2D4CF"/>
            </w:tcBorders>
          </w:tcPr>
          <w:p>
            <w:pPr>
              <w:spacing w:after="0"/>
            </w:pPr>
            <w:r>
              <w:rPr>
                <w:color w:val="2B2228"/>
                <w:sz w:val="17"/>
              </w:rPr>
              <w:t>Base oscura, navegación, texto de autoridad, dark mode.</w:t>
            </w:r>
          </w:p>
        </w:tc>
      </w:tr>
      <w:tr>
        <w:tc>
          <w:tcPr>
            <w:tcW w:type="dxa" w:w="3389"/>
            <w:shd w:fill="F2E9E2"/>
            <w:vAlign w:val="center"/>
            <w:tcBorders>
              <w:bottom w:val="single" w:sz="4" w:color="E2D4CF"/>
            </w:tcBorders>
          </w:tcPr>
          <w:p>
            <w:pPr>
              <w:spacing w:after="0"/>
            </w:pPr>
            <w:r>
              <w:rPr>
                <w:color w:val="2B2228"/>
                <w:sz w:val="17"/>
              </w:rPr>
              <w:t>Bordeaux Noir</w:t>
            </w:r>
          </w:p>
        </w:tc>
        <w:tc>
          <w:tcPr>
            <w:tcW w:type="dxa" w:w="3389"/>
            <w:shd w:fill="F2E9E2"/>
            <w:vAlign w:val="center"/>
            <w:tcBorders>
              <w:bottom w:val="single" w:sz="4" w:color="E2D4CF"/>
            </w:tcBorders>
          </w:tcPr>
          <w:p>
            <w:pPr>
              <w:spacing w:after="0"/>
            </w:pPr>
            <w:r>
              <w:rPr>
                <w:color w:val="2B2228"/>
                <w:sz w:val="17"/>
              </w:rPr>
              <w:t>#5B3443</w:t>
            </w:r>
          </w:p>
        </w:tc>
        <w:tc>
          <w:tcPr>
            <w:tcW w:type="dxa" w:w="3389"/>
            <w:shd w:fill="F2E9E2"/>
            <w:vAlign w:val="center"/>
            <w:tcBorders>
              <w:bottom w:val="single" w:sz="4" w:color="E2D4CF"/>
            </w:tcBorders>
          </w:tcPr>
          <w:p>
            <w:pPr>
              <w:spacing w:after="0"/>
            </w:pPr>
            <w:r>
              <w:rPr>
                <w:color w:val="2B2228"/>
                <w:sz w:val="17"/>
              </w:rPr>
              <w:t>CTA, énfasis, acciones importantes, identidad.</w:t>
            </w:r>
          </w:p>
        </w:tc>
      </w:tr>
      <w:tr>
        <w:tc>
          <w:tcPr>
            <w:tcW w:type="dxa" w:w="3389"/>
            <w:shd w:fill="F7F1ED"/>
            <w:vAlign w:val="center"/>
            <w:tcBorders>
              <w:bottom w:val="single" w:sz="4" w:color="E2D4CF"/>
            </w:tcBorders>
          </w:tcPr>
          <w:p>
            <w:pPr>
              <w:spacing w:after="0"/>
            </w:pPr>
            <w:r>
              <w:rPr>
                <w:color w:val="2B2228"/>
                <w:sz w:val="17"/>
              </w:rPr>
              <w:t>Mauve Taupe</w:t>
            </w:r>
          </w:p>
        </w:tc>
        <w:tc>
          <w:tcPr>
            <w:tcW w:type="dxa" w:w="3389"/>
            <w:shd w:fill="F7F1ED"/>
            <w:vAlign w:val="center"/>
            <w:tcBorders>
              <w:bottom w:val="single" w:sz="4" w:color="E2D4CF"/>
            </w:tcBorders>
          </w:tcPr>
          <w:p>
            <w:pPr>
              <w:spacing w:after="0"/>
            </w:pPr>
            <w:r>
              <w:rPr>
                <w:color w:val="2B2228"/>
                <w:sz w:val="17"/>
              </w:rPr>
              <w:t>#9C7B85</w:t>
            </w:r>
          </w:p>
        </w:tc>
        <w:tc>
          <w:tcPr>
            <w:tcW w:type="dxa" w:w="3389"/>
            <w:shd w:fill="F7F1ED"/>
            <w:vAlign w:val="center"/>
            <w:tcBorders>
              <w:bottom w:val="single" w:sz="4" w:color="E2D4CF"/>
            </w:tcBorders>
          </w:tcPr>
          <w:p>
            <w:pPr>
              <w:spacing w:after="0"/>
            </w:pPr>
            <w:r>
              <w:rPr>
                <w:color w:val="2B2228"/>
                <w:sz w:val="17"/>
              </w:rPr>
              <w:t>Secundario, gráficas, estados, capas suaves.</w:t>
            </w:r>
          </w:p>
        </w:tc>
      </w:tr>
      <w:tr>
        <w:tc>
          <w:tcPr>
            <w:tcW w:type="dxa" w:w="3389"/>
            <w:shd w:fill="F2E9E2"/>
            <w:vAlign w:val="center"/>
            <w:tcBorders>
              <w:bottom w:val="single" w:sz="4" w:color="E2D4CF"/>
            </w:tcBorders>
          </w:tcPr>
          <w:p>
            <w:pPr>
              <w:spacing w:after="0"/>
            </w:pPr>
            <w:r>
              <w:rPr>
                <w:color w:val="2B2228"/>
                <w:sz w:val="17"/>
              </w:rPr>
              <w:t>Rose Beige</w:t>
            </w:r>
          </w:p>
        </w:tc>
        <w:tc>
          <w:tcPr>
            <w:tcW w:type="dxa" w:w="3389"/>
            <w:shd w:fill="F2E9E2"/>
            <w:vAlign w:val="center"/>
            <w:tcBorders>
              <w:bottom w:val="single" w:sz="4" w:color="E2D4CF"/>
            </w:tcBorders>
          </w:tcPr>
          <w:p>
            <w:pPr>
              <w:spacing w:after="0"/>
            </w:pPr>
            <w:r>
              <w:rPr>
                <w:color w:val="2B2228"/>
                <w:sz w:val="17"/>
              </w:rPr>
              <w:t>#C8A69A</w:t>
            </w:r>
          </w:p>
        </w:tc>
        <w:tc>
          <w:tcPr>
            <w:tcW w:type="dxa" w:w="3389"/>
            <w:shd w:fill="F2E9E2"/>
            <w:vAlign w:val="center"/>
            <w:tcBorders>
              <w:bottom w:val="single" w:sz="4" w:color="E2D4CF"/>
            </w:tcBorders>
          </w:tcPr>
          <w:p>
            <w:pPr>
              <w:spacing w:after="0"/>
            </w:pPr>
            <w:r>
              <w:rPr>
                <w:color w:val="2B2228"/>
                <w:sz w:val="17"/>
              </w:rPr>
              <w:t>Superficies cálidas, tarjetas, acentos humanos.</w:t>
            </w:r>
          </w:p>
        </w:tc>
      </w:tr>
      <w:tr>
        <w:tc>
          <w:tcPr>
            <w:tcW w:type="dxa" w:w="3389"/>
            <w:shd w:fill="F7F1ED"/>
            <w:vAlign w:val="center"/>
            <w:tcBorders>
              <w:bottom w:val="single" w:sz="4" w:color="E2D4CF"/>
            </w:tcBorders>
          </w:tcPr>
          <w:p>
            <w:pPr>
              <w:spacing w:after="0"/>
            </w:pPr>
            <w:r>
              <w:rPr>
                <w:color w:val="2B2228"/>
                <w:sz w:val="17"/>
              </w:rPr>
              <w:t>Silk Cream</w:t>
            </w:r>
          </w:p>
        </w:tc>
        <w:tc>
          <w:tcPr>
            <w:tcW w:type="dxa" w:w="3389"/>
            <w:shd w:fill="F7F1ED"/>
            <w:vAlign w:val="center"/>
            <w:tcBorders>
              <w:bottom w:val="single" w:sz="4" w:color="E2D4CF"/>
            </w:tcBorders>
          </w:tcPr>
          <w:p>
            <w:pPr>
              <w:spacing w:after="0"/>
            </w:pPr>
            <w:r>
              <w:rPr>
                <w:color w:val="2B2228"/>
                <w:sz w:val="17"/>
              </w:rPr>
              <w:t>#F2E9E2</w:t>
            </w:r>
          </w:p>
        </w:tc>
        <w:tc>
          <w:tcPr>
            <w:tcW w:type="dxa" w:w="3389"/>
            <w:shd w:fill="F7F1ED"/>
            <w:vAlign w:val="center"/>
            <w:tcBorders>
              <w:bottom w:val="single" w:sz="4" w:color="E2D4CF"/>
            </w:tcBorders>
          </w:tcPr>
          <w:p>
            <w:pPr>
              <w:spacing w:after="0"/>
            </w:pPr>
            <w:r>
              <w:rPr>
                <w:color w:val="2B2228"/>
                <w:sz w:val="17"/>
              </w:rPr>
              <w:t>Fondo claro principal.</w:t>
            </w:r>
          </w:p>
        </w:tc>
      </w:tr>
      <w:tr>
        <w:tc>
          <w:tcPr>
            <w:tcW w:type="dxa" w:w="3389"/>
            <w:shd w:fill="F2E9E2"/>
            <w:vAlign w:val="center"/>
            <w:tcBorders>
              <w:bottom w:val="single" w:sz="4" w:color="E2D4CF"/>
            </w:tcBorders>
          </w:tcPr>
          <w:p>
            <w:pPr>
              <w:spacing w:after="0"/>
            </w:pPr>
            <w:r>
              <w:rPr>
                <w:color w:val="2B2228"/>
                <w:sz w:val="17"/>
              </w:rPr>
              <w:t>Ivory</w:t>
            </w:r>
          </w:p>
        </w:tc>
        <w:tc>
          <w:tcPr>
            <w:tcW w:type="dxa" w:w="3389"/>
            <w:shd w:fill="F2E9E2"/>
            <w:vAlign w:val="center"/>
            <w:tcBorders>
              <w:bottom w:val="single" w:sz="4" w:color="E2D4CF"/>
            </w:tcBorders>
          </w:tcPr>
          <w:p>
            <w:pPr>
              <w:spacing w:after="0"/>
            </w:pPr>
            <w:r>
              <w:rPr>
                <w:color w:val="2B2228"/>
                <w:sz w:val="17"/>
              </w:rPr>
              <w:t>#F7F1ED</w:t>
            </w:r>
          </w:p>
        </w:tc>
        <w:tc>
          <w:tcPr>
            <w:tcW w:type="dxa" w:w="3389"/>
            <w:shd w:fill="F2E9E2"/>
            <w:vAlign w:val="center"/>
            <w:tcBorders>
              <w:bottom w:val="single" w:sz="4" w:color="E2D4CF"/>
            </w:tcBorders>
          </w:tcPr>
          <w:p>
            <w:pPr>
              <w:spacing w:after="0"/>
            </w:pPr>
            <w:r>
              <w:rPr>
                <w:color w:val="2B2228"/>
                <w:sz w:val="17"/>
              </w:rPr>
              <w:t>Fondos amplios, contraste y respiración.</w:t>
            </w:r>
          </w:p>
        </w:tc>
      </w:tr>
    </w:tbl>
    <w:p>
      <w:pPr>
        <w:spacing w:after="40"/>
      </w:pPr>
    </w:p>
    <w:p>
      <w:pPr>
        <w:pStyle w:val="Heading2"/>
      </w:pPr>
      <w:r>
        <w:t>2.1 Tipografía de interfaz</w:t>
      </w:r>
    </w:p>
    <w:p>
      <w:pPr>
        <w:keepLines w:val="0"/>
      </w:pPr>
      <w:r>
        <w:t>Questrial es la tipografía general de interfaz. Montserrat es tipografía de apoyo para labels, botones, métricas, microcopy funcional y énfasis. El logotipo/monograma es arte de marca independiente y no debe reconstruirse con una fuente aproximada.</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241820"/>
            <w:vAlign w:val="center"/>
          </w:tcPr>
          <w:p>
            <w:r>
              <w:rPr>
                <w:b/>
                <w:color w:val="FFFFFF"/>
                <w:sz w:val="17"/>
              </w:rPr>
              <w:t>Uso</w:t>
            </w:r>
          </w:p>
        </w:tc>
        <w:tc>
          <w:tcPr>
            <w:tcW w:type="dxa" w:w="2541"/>
            <w:shd w:fill="241820"/>
            <w:vAlign w:val="center"/>
          </w:tcPr>
          <w:p>
            <w:r>
              <w:rPr>
                <w:b/>
                <w:color w:val="FFFFFF"/>
                <w:sz w:val="17"/>
              </w:rPr>
              <w:t>Desktop</w:t>
            </w:r>
          </w:p>
        </w:tc>
        <w:tc>
          <w:tcPr>
            <w:tcW w:type="dxa" w:w="2541"/>
            <w:shd w:fill="241820"/>
            <w:vAlign w:val="center"/>
          </w:tcPr>
          <w:p>
            <w:r>
              <w:rPr>
                <w:b/>
                <w:color w:val="FFFFFF"/>
                <w:sz w:val="17"/>
              </w:rPr>
              <w:t>Mobile</w:t>
            </w:r>
          </w:p>
        </w:tc>
        <w:tc>
          <w:tcPr>
            <w:tcW w:type="dxa" w:w="2541"/>
            <w:shd w:fill="241820"/>
            <w:vAlign w:val="center"/>
          </w:tcPr>
          <w:p>
            <w:r>
              <w:rPr>
                <w:b/>
                <w:color w:val="FFFFFF"/>
                <w:sz w:val="17"/>
              </w:rPr>
              <w:t>Fuente sugerida</w:t>
            </w:r>
          </w:p>
        </w:tc>
      </w:tr>
      <w:tr>
        <w:tc>
          <w:tcPr>
            <w:tcW w:type="dxa" w:w="2541"/>
            <w:shd w:fill="F7F1ED"/>
            <w:vAlign w:val="center"/>
            <w:tcBorders>
              <w:bottom w:val="single" w:sz="4" w:color="E2D4CF"/>
            </w:tcBorders>
          </w:tcPr>
          <w:p>
            <w:pPr>
              <w:spacing w:after="0"/>
            </w:pPr>
            <w:r>
              <w:rPr>
                <w:color w:val="2B2228"/>
                <w:sz w:val="17"/>
              </w:rPr>
              <w:t>H1</w:t>
            </w:r>
          </w:p>
        </w:tc>
        <w:tc>
          <w:tcPr>
            <w:tcW w:type="dxa" w:w="2541"/>
            <w:shd w:fill="F7F1ED"/>
            <w:vAlign w:val="center"/>
            <w:tcBorders>
              <w:bottom w:val="single" w:sz="4" w:color="E2D4CF"/>
            </w:tcBorders>
          </w:tcPr>
          <w:p>
            <w:pPr>
              <w:spacing w:after="0"/>
            </w:pPr>
            <w:r>
              <w:rPr>
                <w:color w:val="2B2228"/>
                <w:sz w:val="17"/>
              </w:rPr>
              <w:t>48/56 px</w:t>
            </w:r>
          </w:p>
        </w:tc>
        <w:tc>
          <w:tcPr>
            <w:tcW w:type="dxa" w:w="2541"/>
            <w:shd w:fill="F7F1ED"/>
            <w:vAlign w:val="center"/>
            <w:tcBorders>
              <w:bottom w:val="single" w:sz="4" w:color="E2D4CF"/>
            </w:tcBorders>
          </w:tcPr>
          <w:p>
            <w:pPr>
              <w:spacing w:after="0"/>
            </w:pPr>
            <w:r>
              <w:rPr>
                <w:color w:val="2B2228"/>
                <w:sz w:val="17"/>
              </w:rPr>
              <w:t>34/40 px</w:t>
            </w:r>
          </w:p>
        </w:tc>
        <w:tc>
          <w:tcPr>
            <w:tcW w:type="dxa" w:w="2541"/>
            <w:shd w:fill="F7F1ED"/>
            <w:vAlign w:val="center"/>
            <w:tcBorders>
              <w:bottom w:val="single" w:sz="4" w:color="E2D4CF"/>
            </w:tcBorders>
          </w:tcPr>
          <w:p>
            <w:pPr>
              <w:spacing w:after="0"/>
            </w:pPr>
            <w:r>
              <w:rPr>
                <w:color w:val="2B2228"/>
                <w:sz w:val="17"/>
              </w:rPr>
              <w:t>Questrial Regular</w:t>
            </w:r>
          </w:p>
        </w:tc>
      </w:tr>
      <w:tr>
        <w:tc>
          <w:tcPr>
            <w:tcW w:type="dxa" w:w="2541"/>
            <w:shd w:fill="F2E9E2"/>
            <w:vAlign w:val="center"/>
            <w:tcBorders>
              <w:bottom w:val="single" w:sz="4" w:color="E2D4CF"/>
            </w:tcBorders>
          </w:tcPr>
          <w:p>
            <w:pPr>
              <w:spacing w:after="0"/>
            </w:pPr>
            <w:r>
              <w:rPr>
                <w:color w:val="2B2228"/>
                <w:sz w:val="17"/>
              </w:rPr>
              <w:t>H2</w:t>
            </w:r>
          </w:p>
        </w:tc>
        <w:tc>
          <w:tcPr>
            <w:tcW w:type="dxa" w:w="2541"/>
            <w:shd w:fill="F2E9E2"/>
            <w:vAlign w:val="center"/>
            <w:tcBorders>
              <w:bottom w:val="single" w:sz="4" w:color="E2D4CF"/>
            </w:tcBorders>
          </w:tcPr>
          <w:p>
            <w:pPr>
              <w:spacing w:after="0"/>
            </w:pPr>
            <w:r>
              <w:rPr>
                <w:color w:val="2B2228"/>
                <w:sz w:val="17"/>
              </w:rPr>
              <w:t>36/44 px</w:t>
            </w:r>
          </w:p>
        </w:tc>
        <w:tc>
          <w:tcPr>
            <w:tcW w:type="dxa" w:w="2541"/>
            <w:shd w:fill="F2E9E2"/>
            <w:vAlign w:val="center"/>
            <w:tcBorders>
              <w:bottom w:val="single" w:sz="4" w:color="E2D4CF"/>
            </w:tcBorders>
          </w:tcPr>
          <w:p>
            <w:pPr>
              <w:spacing w:after="0"/>
            </w:pPr>
            <w:r>
              <w:rPr>
                <w:color w:val="2B2228"/>
                <w:sz w:val="17"/>
              </w:rPr>
              <w:t>28/34 px</w:t>
            </w:r>
          </w:p>
        </w:tc>
        <w:tc>
          <w:tcPr>
            <w:tcW w:type="dxa" w:w="2541"/>
            <w:shd w:fill="F2E9E2"/>
            <w:vAlign w:val="center"/>
            <w:tcBorders>
              <w:bottom w:val="single" w:sz="4" w:color="E2D4CF"/>
            </w:tcBorders>
          </w:tcPr>
          <w:p>
            <w:pPr>
              <w:spacing w:after="0"/>
            </w:pPr>
            <w:r>
              <w:rPr>
                <w:color w:val="2B2228"/>
                <w:sz w:val="17"/>
              </w:rPr>
              <w:t>Questrial Regular</w:t>
            </w:r>
          </w:p>
        </w:tc>
      </w:tr>
      <w:tr>
        <w:tc>
          <w:tcPr>
            <w:tcW w:type="dxa" w:w="2541"/>
            <w:shd w:fill="F7F1ED"/>
            <w:vAlign w:val="center"/>
            <w:tcBorders>
              <w:bottom w:val="single" w:sz="4" w:color="E2D4CF"/>
            </w:tcBorders>
          </w:tcPr>
          <w:p>
            <w:pPr>
              <w:spacing w:after="0"/>
            </w:pPr>
            <w:r>
              <w:rPr>
                <w:color w:val="2B2228"/>
                <w:sz w:val="17"/>
              </w:rPr>
              <w:t>H3</w:t>
            </w:r>
          </w:p>
        </w:tc>
        <w:tc>
          <w:tcPr>
            <w:tcW w:type="dxa" w:w="2541"/>
            <w:shd w:fill="F7F1ED"/>
            <w:vAlign w:val="center"/>
            <w:tcBorders>
              <w:bottom w:val="single" w:sz="4" w:color="E2D4CF"/>
            </w:tcBorders>
          </w:tcPr>
          <w:p>
            <w:pPr>
              <w:spacing w:after="0"/>
            </w:pPr>
            <w:r>
              <w:rPr>
                <w:color w:val="2B2228"/>
                <w:sz w:val="17"/>
              </w:rPr>
              <w:t>28/36 px</w:t>
            </w:r>
          </w:p>
        </w:tc>
        <w:tc>
          <w:tcPr>
            <w:tcW w:type="dxa" w:w="2541"/>
            <w:shd w:fill="F7F1ED"/>
            <w:vAlign w:val="center"/>
            <w:tcBorders>
              <w:bottom w:val="single" w:sz="4" w:color="E2D4CF"/>
            </w:tcBorders>
          </w:tcPr>
          <w:p>
            <w:pPr>
              <w:spacing w:after="0"/>
            </w:pPr>
            <w:r>
              <w:rPr>
                <w:color w:val="2B2228"/>
                <w:sz w:val="17"/>
              </w:rPr>
              <w:t>22/28 px</w:t>
            </w:r>
          </w:p>
        </w:tc>
        <w:tc>
          <w:tcPr>
            <w:tcW w:type="dxa" w:w="2541"/>
            <w:shd w:fill="F7F1ED"/>
            <w:vAlign w:val="center"/>
            <w:tcBorders>
              <w:bottom w:val="single" w:sz="4" w:color="E2D4CF"/>
            </w:tcBorders>
          </w:tcPr>
          <w:p>
            <w:pPr>
              <w:spacing w:after="0"/>
            </w:pPr>
            <w:r>
              <w:rPr>
                <w:color w:val="2B2228"/>
                <w:sz w:val="17"/>
              </w:rPr>
              <w:t>Questrial Regular</w:t>
            </w:r>
          </w:p>
        </w:tc>
      </w:tr>
      <w:tr>
        <w:tc>
          <w:tcPr>
            <w:tcW w:type="dxa" w:w="2541"/>
            <w:shd w:fill="F2E9E2"/>
            <w:vAlign w:val="center"/>
            <w:tcBorders>
              <w:bottom w:val="single" w:sz="4" w:color="E2D4CF"/>
            </w:tcBorders>
          </w:tcPr>
          <w:p>
            <w:pPr>
              <w:spacing w:after="0"/>
            </w:pPr>
            <w:r>
              <w:rPr>
                <w:color w:val="2B2228"/>
                <w:sz w:val="17"/>
              </w:rPr>
              <w:t>H4</w:t>
            </w:r>
          </w:p>
        </w:tc>
        <w:tc>
          <w:tcPr>
            <w:tcW w:type="dxa" w:w="2541"/>
            <w:shd w:fill="F2E9E2"/>
            <w:vAlign w:val="center"/>
            <w:tcBorders>
              <w:bottom w:val="single" w:sz="4" w:color="E2D4CF"/>
            </w:tcBorders>
          </w:tcPr>
          <w:p>
            <w:pPr>
              <w:spacing w:after="0"/>
            </w:pPr>
            <w:r>
              <w:rPr>
                <w:color w:val="2B2228"/>
                <w:sz w:val="17"/>
              </w:rPr>
              <w:t>22/30 px</w:t>
            </w:r>
          </w:p>
        </w:tc>
        <w:tc>
          <w:tcPr>
            <w:tcW w:type="dxa" w:w="2541"/>
            <w:shd w:fill="F2E9E2"/>
            <w:vAlign w:val="center"/>
            <w:tcBorders>
              <w:bottom w:val="single" w:sz="4" w:color="E2D4CF"/>
            </w:tcBorders>
          </w:tcPr>
          <w:p>
            <w:pPr>
              <w:spacing w:after="0"/>
            </w:pPr>
            <w:r>
              <w:rPr>
                <w:color w:val="2B2228"/>
                <w:sz w:val="17"/>
              </w:rPr>
              <w:t>20/26 px</w:t>
            </w:r>
          </w:p>
        </w:tc>
        <w:tc>
          <w:tcPr>
            <w:tcW w:type="dxa" w:w="2541"/>
            <w:shd w:fill="F2E9E2"/>
            <w:vAlign w:val="center"/>
            <w:tcBorders>
              <w:bottom w:val="single" w:sz="4" w:color="E2D4CF"/>
            </w:tcBorders>
          </w:tcPr>
          <w:p>
            <w:pPr>
              <w:spacing w:after="0"/>
            </w:pPr>
            <w:r>
              <w:rPr>
                <w:color w:val="2B2228"/>
                <w:sz w:val="17"/>
              </w:rPr>
              <w:t>Questrial Regular</w:t>
            </w:r>
          </w:p>
        </w:tc>
      </w:tr>
      <w:tr>
        <w:tc>
          <w:tcPr>
            <w:tcW w:type="dxa" w:w="2541"/>
            <w:shd w:fill="F7F1ED"/>
            <w:vAlign w:val="center"/>
            <w:tcBorders>
              <w:bottom w:val="single" w:sz="4" w:color="E2D4CF"/>
            </w:tcBorders>
          </w:tcPr>
          <w:p>
            <w:pPr>
              <w:spacing w:after="0"/>
            </w:pPr>
            <w:r>
              <w:rPr>
                <w:color w:val="2B2228"/>
                <w:sz w:val="17"/>
              </w:rPr>
              <w:t>Body L</w:t>
            </w:r>
          </w:p>
        </w:tc>
        <w:tc>
          <w:tcPr>
            <w:tcW w:type="dxa" w:w="2541"/>
            <w:shd w:fill="F7F1ED"/>
            <w:vAlign w:val="center"/>
            <w:tcBorders>
              <w:bottom w:val="single" w:sz="4" w:color="E2D4CF"/>
            </w:tcBorders>
          </w:tcPr>
          <w:p>
            <w:pPr>
              <w:spacing w:after="0"/>
            </w:pPr>
            <w:r>
              <w:rPr>
                <w:color w:val="2B2228"/>
                <w:sz w:val="17"/>
              </w:rPr>
              <w:t>18/30 px</w:t>
            </w:r>
          </w:p>
        </w:tc>
        <w:tc>
          <w:tcPr>
            <w:tcW w:type="dxa" w:w="2541"/>
            <w:shd w:fill="F7F1ED"/>
            <w:vAlign w:val="center"/>
            <w:tcBorders>
              <w:bottom w:val="single" w:sz="4" w:color="E2D4CF"/>
            </w:tcBorders>
          </w:tcPr>
          <w:p>
            <w:pPr>
              <w:spacing w:after="0"/>
            </w:pPr>
            <w:r>
              <w:rPr>
                <w:color w:val="2B2228"/>
                <w:sz w:val="17"/>
              </w:rPr>
              <w:t>17/28 px</w:t>
            </w:r>
          </w:p>
        </w:tc>
        <w:tc>
          <w:tcPr>
            <w:tcW w:type="dxa" w:w="2541"/>
            <w:shd w:fill="F7F1ED"/>
            <w:vAlign w:val="center"/>
            <w:tcBorders>
              <w:bottom w:val="single" w:sz="4" w:color="E2D4CF"/>
            </w:tcBorders>
          </w:tcPr>
          <w:p>
            <w:pPr>
              <w:spacing w:after="0"/>
            </w:pPr>
            <w:r>
              <w:rPr>
                <w:color w:val="2B2228"/>
                <w:sz w:val="17"/>
              </w:rPr>
              <w:t>Questrial Regular</w:t>
            </w:r>
          </w:p>
        </w:tc>
      </w:tr>
      <w:tr>
        <w:tc>
          <w:tcPr>
            <w:tcW w:type="dxa" w:w="2541"/>
            <w:shd w:fill="F2E9E2"/>
            <w:vAlign w:val="center"/>
            <w:tcBorders>
              <w:bottom w:val="single" w:sz="4" w:color="E2D4CF"/>
            </w:tcBorders>
          </w:tcPr>
          <w:p>
            <w:pPr>
              <w:spacing w:after="0"/>
            </w:pPr>
            <w:r>
              <w:rPr>
                <w:color w:val="2B2228"/>
                <w:sz w:val="17"/>
              </w:rPr>
              <w:t>Body M</w:t>
            </w:r>
          </w:p>
        </w:tc>
        <w:tc>
          <w:tcPr>
            <w:tcW w:type="dxa" w:w="2541"/>
            <w:shd w:fill="F2E9E2"/>
            <w:vAlign w:val="center"/>
            <w:tcBorders>
              <w:bottom w:val="single" w:sz="4" w:color="E2D4CF"/>
            </w:tcBorders>
          </w:tcPr>
          <w:p>
            <w:pPr>
              <w:spacing w:after="0"/>
            </w:pPr>
            <w:r>
              <w:rPr>
                <w:color w:val="2B2228"/>
                <w:sz w:val="17"/>
              </w:rPr>
              <w:t>16/26 px</w:t>
            </w:r>
          </w:p>
        </w:tc>
        <w:tc>
          <w:tcPr>
            <w:tcW w:type="dxa" w:w="2541"/>
            <w:shd w:fill="F2E9E2"/>
            <w:vAlign w:val="center"/>
            <w:tcBorders>
              <w:bottom w:val="single" w:sz="4" w:color="E2D4CF"/>
            </w:tcBorders>
          </w:tcPr>
          <w:p>
            <w:pPr>
              <w:spacing w:after="0"/>
            </w:pPr>
            <w:r>
              <w:rPr>
                <w:color w:val="2B2228"/>
                <w:sz w:val="17"/>
              </w:rPr>
              <w:t>15/24 px</w:t>
            </w:r>
          </w:p>
        </w:tc>
        <w:tc>
          <w:tcPr>
            <w:tcW w:type="dxa" w:w="2541"/>
            <w:shd w:fill="F2E9E2"/>
            <w:vAlign w:val="center"/>
            <w:tcBorders>
              <w:bottom w:val="single" w:sz="4" w:color="E2D4CF"/>
            </w:tcBorders>
          </w:tcPr>
          <w:p>
            <w:pPr>
              <w:spacing w:after="0"/>
            </w:pPr>
            <w:r>
              <w:rPr>
                <w:color w:val="2B2228"/>
                <w:sz w:val="17"/>
              </w:rPr>
              <w:t>Questrial Regular</w:t>
            </w:r>
          </w:p>
        </w:tc>
      </w:tr>
      <w:tr>
        <w:tc>
          <w:tcPr>
            <w:tcW w:type="dxa" w:w="2541"/>
            <w:shd w:fill="F7F1ED"/>
            <w:vAlign w:val="center"/>
            <w:tcBorders>
              <w:bottom w:val="single" w:sz="4" w:color="E2D4CF"/>
            </w:tcBorders>
          </w:tcPr>
          <w:p>
            <w:pPr>
              <w:spacing w:after="0"/>
            </w:pPr>
            <w:r>
              <w:rPr>
                <w:color w:val="2B2228"/>
                <w:sz w:val="17"/>
              </w:rPr>
              <w:t>Body S</w:t>
            </w:r>
          </w:p>
        </w:tc>
        <w:tc>
          <w:tcPr>
            <w:tcW w:type="dxa" w:w="2541"/>
            <w:shd w:fill="F7F1ED"/>
            <w:vAlign w:val="center"/>
            <w:tcBorders>
              <w:bottom w:val="single" w:sz="4" w:color="E2D4CF"/>
            </w:tcBorders>
          </w:tcPr>
          <w:p>
            <w:pPr>
              <w:spacing w:after="0"/>
            </w:pPr>
            <w:r>
              <w:rPr>
                <w:color w:val="2B2228"/>
                <w:sz w:val="17"/>
              </w:rPr>
              <w:t>14/22 px</w:t>
            </w:r>
          </w:p>
        </w:tc>
        <w:tc>
          <w:tcPr>
            <w:tcW w:type="dxa" w:w="2541"/>
            <w:shd w:fill="F7F1ED"/>
            <w:vAlign w:val="center"/>
            <w:tcBorders>
              <w:bottom w:val="single" w:sz="4" w:color="E2D4CF"/>
            </w:tcBorders>
          </w:tcPr>
          <w:p>
            <w:pPr>
              <w:spacing w:after="0"/>
            </w:pPr>
            <w:r>
              <w:rPr>
                <w:color w:val="2B2228"/>
                <w:sz w:val="17"/>
              </w:rPr>
              <w:t>14/22 px</w:t>
            </w:r>
          </w:p>
        </w:tc>
        <w:tc>
          <w:tcPr>
            <w:tcW w:type="dxa" w:w="2541"/>
            <w:shd w:fill="F7F1ED"/>
            <w:vAlign w:val="center"/>
            <w:tcBorders>
              <w:bottom w:val="single" w:sz="4" w:color="E2D4CF"/>
            </w:tcBorders>
          </w:tcPr>
          <w:p>
            <w:pPr>
              <w:spacing w:after="0"/>
            </w:pPr>
            <w:r>
              <w:rPr>
                <w:color w:val="2B2228"/>
                <w:sz w:val="17"/>
              </w:rPr>
              <w:t>Questrial Regular</w:t>
            </w:r>
          </w:p>
        </w:tc>
      </w:tr>
      <w:tr>
        <w:tc>
          <w:tcPr>
            <w:tcW w:type="dxa" w:w="2541"/>
            <w:shd w:fill="F2E9E2"/>
            <w:vAlign w:val="center"/>
            <w:tcBorders>
              <w:bottom w:val="single" w:sz="4" w:color="E2D4CF"/>
            </w:tcBorders>
          </w:tcPr>
          <w:p>
            <w:pPr>
              <w:spacing w:after="0"/>
            </w:pPr>
            <w:r>
              <w:rPr>
                <w:color w:val="2B2228"/>
                <w:sz w:val="17"/>
              </w:rPr>
              <w:t>Caption</w:t>
            </w:r>
          </w:p>
        </w:tc>
        <w:tc>
          <w:tcPr>
            <w:tcW w:type="dxa" w:w="2541"/>
            <w:shd w:fill="F2E9E2"/>
            <w:vAlign w:val="center"/>
            <w:tcBorders>
              <w:bottom w:val="single" w:sz="4" w:color="E2D4CF"/>
            </w:tcBorders>
          </w:tcPr>
          <w:p>
            <w:pPr>
              <w:spacing w:after="0"/>
            </w:pPr>
            <w:r>
              <w:rPr>
                <w:color w:val="2B2228"/>
                <w:sz w:val="17"/>
              </w:rPr>
              <w:t>12/18 px</w:t>
            </w:r>
          </w:p>
        </w:tc>
        <w:tc>
          <w:tcPr>
            <w:tcW w:type="dxa" w:w="2541"/>
            <w:shd w:fill="F2E9E2"/>
            <w:vAlign w:val="center"/>
            <w:tcBorders>
              <w:bottom w:val="single" w:sz="4" w:color="E2D4CF"/>
            </w:tcBorders>
          </w:tcPr>
          <w:p>
            <w:pPr>
              <w:spacing w:after="0"/>
            </w:pPr>
            <w:r>
              <w:rPr>
                <w:color w:val="2B2228"/>
                <w:sz w:val="17"/>
              </w:rPr>
              <w:t>12/18 px</w:t>
            </w:r>
          </w:p>
        </w:tc>
        <w:tc>
          <w:tcPr>
            <w:tcW w:type="dxa" w:w="2541"/>
            <w:shd w:fill="F2E9E2"/>
            <w:vAlign w:val="center"/>
            <w:tcBorders>
              <w:bottom w:val="single" w:sz="4" w:color="E2D4CF"/>
            </w:tcBorders>
          </w:tcPr>
          <w:p>
            <w:pPr>
              <w:spacing w:after="0"/>
            </w:pPr>
            <w:r>
              <w:rPr>
                <w:color w:val="2B2228"/>
                <w:sz w:val="17"/>
              </w:rPr>
              <w:t>Montserrat Medium</w:t>
            </w:r>
          </w:p>
        </w:tc>
      </w:tr>
      <w:tr>
        <w:tc>
          <w:tcPr>
            <w:tcW w:type="dxa" w:w="2541"/>
            <w:shd w:fill="F7F1ED"/>
            <w:vAlign w:val="center"/>
            <w:tcBorders>
              <w:bottom w:val="single" w:sz="4" w:color="E2D4CF"/>
            </w:tcBorders>
          </w:tcPr>
          <w:p>
            <w:pPr>
              <w:spacing w:after="0"/>
            </w:pPr>
            <w:r>
              <w:rPr>
                <w:color w:val="2B2228"/>
                <w:sz w:val="17"/>
              </w:rPr>
              <w:t>Button</w:t>
            </w:r>
          </w:p>
        </w:tc>
        <w:tc>
          <w:tcPr>
            <w:tcW w:type="dxa" w:w="2541"/>
            <w:shd w:fill="F7F1ED"/>
            <w:vAlign w:val="center"/>
            <w:tcBorders>
              <w:bottom w:val="single" w:sz="4" w:color="E2D4CF"/>
            </w:tcBorders>
          </w:tcPr>
          <w:p>
            <w:pPr>
              <w:spacing w:after="0"/>
            </w:pPr>
            <w:r>
              <w:rPr>
                <w:color w:val="2B2228"/>
                <w:sz w:val="17"/>
              </w:rPr>
              <w:t>14/18 px</w:t>
            </w:r>
          </w:p>
        </w:tc>
        <w:tc>
          <w:tcPr>
            <w:tcW w:type="dxa" w:w="2541"/>
            <w:shd w:fill="F7F1ED"/>
            <w:vAlign w:val="center"/>
            <w:tcBorders>
              <w:bottom w:val="single" w:sz="4" w:color="E2D4CF"/>
            </w:tcBorders>
          </w:tcPr>
          <w:p>
            <w:pPr>
              <w:spacing w:after="0"/>
            </w:pPr>
            <w:r>
              <w:rPr>
                <w:color w:val="2B2228"/>
                <w:sz w:val="17"/>
              </w:rPr>
              <w:t>14/18 px</w:t>
            </w:r>
          </w:p>
        </w:tc>
        <w:tc>
          <w:tcPr>
            <w:tcW w:type="dxa" w:w="2541"/>
            <w:shd w:fill="F7F1ED"/>
            <w:vAlign w:val="center"/>
            <w:tcBorders>
              <w:bottom w:val="single" w:sz="4" w:color="E2D4CF"/>
            </w:tcBorders>
          </w:tcPr>
          <w:p>
            <w:pPr>
              <w:spacing w:after="0"/>
            </w:pPr>
            <w:r>
              <w:rPr>
                <w:color w:val="2B2228"/>
                <w:sz w:val="17"/>
              </w:rPr>
              <w:t>Montserrat SemiBold</w:t>
            </w:r>
          </w:p>
        </w:tc>
      </w:tr>
      <w:tr>
        <w:tc>
          <w:tcPr>
            <w:tcW w:type="dxa" w:w="2541"/>
            <w:shd w:fill="F2E9E2"/>
            <w:vAlign w:val="center"/>
            <w:tcBorders>
              <w:bottom w:val="single" w:sz="4" w:color="E2D4CF"/>
            </w:tcBorders>
          </w:tcPr>
          <w:p>
            <w:pPr>
              <w:spacing w:after="0"/>
            </w:pPr>
            <w:r>
              <w:rPr>
                <w:color w:val="2B2228"/>
                <w:sz w:val="17"/>
              </w:rPr>
              <w:t>KPI/Number</w:t>
            </w:r>
          </w:p>
        </w:tc>
        <w:tc>
          <w:tcPr>
            <w:tcW w:type="dxa" w:w="2541"/>
            <w:shd w:fill="F2E9E2"/>
            <w:vAlign w:val="center"/>
            <w:tcBorders>
              <w:bottom w:val="single" w:sz="4" w:color="E2D4CF"/>
            </w:tcBorders>
          </w:tcPr>
          <w:p>
            <w:pPr>
              <w:spacing w:after="0"/>
            </w:pPr>
            <w:r>
              <w:rPr>
                <w:color w:val="2B2228"/>
                <w:sz w:val="17"/>
              </w:rPr>
              <w:t>32/38 px</w:t>
            </w:r>
          </w:p>
        </w:tc>
        <w:tc>
          <w:tcPr>
            <w:tcW w:type="dxa" w:w="2541"/>
            <w:shd w:fill="F2E9E2"/>
            <w:vAlign w:val="center"/>
            <w:tcBorders>
              <w:bottom w:val="single" w:sz="4" w:color="E2D4CF"/>
            </w:tcBorders>
          </w:tcPr>
          <w:p>
            <w:pPr>
              <w:spacing w:after="0"/>
            </w:pPr>
            <w:r>
              <w:rPr>
                <w:color w:val="2B2228"/>
                <w:sz w:val="17"/>
              </w:rPr>
              <w:t>26/32 px</w:t>
            </w:r>
          </w:p>
        </w:tc>
        <w:tc>
          <w:tcPr>
            <w:tcW w:type="dxa" w:w="2541"/>
            <w:shd w:fill="F2E9E2"/>
            <w:vAlign w:val="center"/>
            <w:tcBorders>
              <w:bottom w:val="single" w:sz="4" w:color="E2D4CF"/>
            </w:tcBorders>
          </w:tcPr>
          <w:p>
            <w:pPr>
              <w:spacing w:after="0"/>
            </w:pPr>
            <w:r>
              <w:rPr>
                <w:color w:val="2B2228"/>
                <w:sz w:val="17"/>
              </w:rPr>
              <w:t>Montserrat SemiBold</w:t>
            </w:r>
          </w:p>
        </w:tc>
      </w:tr>
    </w:tbl>
    <w:p>
      <w:pPr>
        <w:spacing w:after="40"/>
      </w:pPr>
    </w:p>
    <w:p>
      <w:pPr>
        <w:pStyle w:val="Heading1"/>
      </w:pPr>
      <w:r>
        <w:t>3. Ecosistema BEMARA: superficies oficiales</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El ecosistema inicial tiene cuatro superficies y ninguna otra. Todas comparten identidad, datos, permisos, entitlements y lógica de negocio, pero cada una tiene un propósito distinto.</w:t>
      </w:r>
    </w:p>
    <w:p>
      <w:pPr>
        <w:pStyle w:val="ListBullet"/>
        <w:spacing w:after="50"/>
        <w:ind w:left="317" w:hanging="173"/>
      </w:pPr>
      <w:r>
        <w:rPr>
          <w:color w:val="2B2228"/>
          <w:sz w:val="18"/>
        </w:rPr>
        <w:t>No crear portal de médicos, nutriólogos, psicólogos, familiares, hijos, pareja, proveedores, empresas ni “clientes”.</w:t>
      </w:r>
    </w:p>
    <w:p>
      <w:pPr>
        <w:pStyle w:val="ListBullet"/>
        <w:spacing w:after="50"/>
        <w:ind w:left="317" w:hanging="173"/>
      </w:pPr>
      <w:r>
        <w:rPr>
          <w:color w:val="2B2228"/>
          <w:sz w:val="18"/>
        </w:rPr>
        <w:t>No crear CRM, ERP, ecommerce propio, marketplace ni telemedicina en lanzamiento.</w:t>
      </w:r>
    </w:p>
    <w:p>
      <w:pPr>
        <w:pStyle w:val="ListBullet"/>
        <w:spacing w:after="50"/>
        <w:ind w:left="317" w:hanging="173"/>
      </w:pPr>
      <w:r>
        <w:rPr>
          <w:color w:val="2B2228"/>
          <w:sz w:val="18"/>
        </w:rPr>
        <w:t>Community es una capacidad futura dentro de BEMARA, no otra app.</w:t>
      </w:r>
    </w:p>
    <w:p>
      <w:pPr>
        <w:pStyle w:val="ListBullet"/>
        <w:spacing w:after="50"/>
        <w:ind w:left="317" w:hanging="173"/>
      </w:pPr>
      <w:r>
        <w:rPr>
          <w:color w:val="2B2228"/>
          <w:sz w:val="18"/>
        </w:rPr>
        <w:t>Clinical es una capacidad futura; no hay prestación clínica en V1.</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241820"/>
            <w:vAlign w:val="center"/>
          </w:tcPr>
          <w:p>
            <w:r>
              <w:rPr>
                <w:b/>
                <w:color w:val="FFFFFF"/>
                <w:sz w:val="17"/>
              </w:rPr>
              <w:t>Superficie</w:t>
            </w:r>
          </w:p>
        </w:tc>
        <w:tc>
          <w:tcPr>
            <w:tcW w:type="dxa" w:w="2541"/>
            <w:shd w:fill="241820"/>
            <w:vAlign w:val="center"/>
          </w:tcPr>
          <w:p>
            <w:r>
              <w:rPr>
                <w:b/>
                <w:color w:val="FFFFFF"/>
                <w:sz w:val="17"/>
              </w:rPr>
              <w:t>Propósito</w:t>
            </w:r>
          </w:p>
        </w:tc>
        <w:tc>
          <w:tcPr>
            <w:tcW w:type="dxa" w:w="2541"/>
            <w:shd w:fill="241820"/>
            <w:vAlign w:val="center"/>
          </w:tcPr>
          <w:p>
            <w:r>
              <w:rPr>
                <w:b/>
                <w:color w:val="FFFFFF"/>
                <w:sz w:val="17"/>
              </w:rPr>
              <w:t>Tecnología base</w:t>
            </w:r>
          </w:p>
        </w:tc>
        <w:tc>
          <w:tcPr>
            <w:tcW w:type="dxa" w:w="2541"/>
            <w:shd w:fill="241820"/>
            <w:vAlign w:val="center"/>
          </w:tcPr>
          <w:p>
            <w:r>
              <w:rPr>
                <w:b/>
                <w:color w:val="FFFFFF"/>
                <w:sz w:val="17"/>
              </w:rPr>
              <w:t>Regla UX</w:t>
            </w:r>
          </w:p>
        </w:tc>
      </w:tr>
      <w:tr>
        <w:tc>
          <w:tcPr>
            <w:tcW w:type="dxa" w:w="2541"/>
            <w:shd w:fill="F7F1ED"/>
            <w:vAlign w:val="center"/>
            <w:tcBorders>
              <w:bottom w:val="single" w:sz="4" w:color="E2D4CF"/>
            </w:tcBorders>
          </w:tcPr>
          <w:p>
            <w:pPr>
              <w:spacing w:after="0"/>
            </w:pPr>
            <w:r>
              <w:rPr>
                <w:color w:val="2B2228"/>
                <w:sz w:val="17"/>
              </w:rPr>
              <w:t>BEMARA Mobile</w:t>
            </w:r>
          </w:p>
        </w:tc>
        <w:tc>
          <w:tcPr>
            <w:tcW w:type="dxa" w:w="2541"/>
            <w:shd w:fill="F7F1ED"/>
            <w:vAlign w:val="center"/>
            <w:tcBorders>
              <w:bottom w:val="single" w:sz="4" w:color="E2D4CF"/>
            </w:tcBorders>
          </w:tcPr>
          <w:p>
            <w:pPr>
              <w:spacing w:after="0"/>
            </w:pPr>
            <w:r>
              <w:rPr>
                <w:color w:val="2B2228"/>
                <w:sz w:val="17"/>
              </w:rPr>
              <w:t>Vida cotidiana: LENA, voz, captura, notificaciones, consultas, agenda, seguridad, registros y acciones.</w:t>
            </w:r>
          </w:p>
        </w:tc>
        <w:tc>
          <w:tcPr>
            <w:tcW w:type="dxa" w:w="2541"/>
            <w:shd w:fill="F7F1ED"/>
            <w:vAlign w:val="center"/>
            <w:tcBorders>
              <w:bottom w:val="single" w:sz="4" w:color="E2D4CF"/>
            </w:tcBorders>
          </w:tcPr>
          <w:p>
            <w:pPr>
              <w:spacing w:after="0"/>
            </w:pPr>
            <w:r>
              <w:rPr>
                <w:color w:val="2B2228"/>
                <w:sz w:val="17"/>
              </w:rPr>
              <w:t>React Native + Expo + TypeScript</w:t>
            </w:r>
          </w:p>
        </w:tc>
        <w:tc>
          <w:tcPr>
            <w:tcW w:type="dxa" w:w="2541"/>
            <w:shd w:fill="F7F1ED"/>
            <w:vAlign w:val="center"/>
            <w:tcBorders>
              <w:bottom w:val="single" w:sz="4" w:color="E2D4CF"/>
            </w:tcBorders>
          </w:tcPr>
          <w:p>
            <w:pPr>
              <w:spacing w:after="0"/>
            </w:pPr>
            <w:r>
              <w:rPr>
                <w:color w:val="2B2228"/>
                <w:sz w:val="17"/>
              </w:rPr>
              <w:t>Mobile-first; flujos rápidos y contextuales.</w:t>
            </w:r>
          </w:p>
        </w:tc>
      </w:tr>
      <w:tr>
        <w:tc>
          <w:tcPr>
            <w:tcW w:type="dxa" w:w="2541"/>
            <w:shd w:fill="F2E9E2"/>
            <w:vAlign w:val="center"/>
            <w:tcBorders>
              <w:bottom w:val="single" w:sz="4" w:color="E2D4CF"/>
            </w:tcBorders>
          </w:tcPr>
          <w:p>
            <w:pPr>
              <w:spacing w:after="0"/>
            </w:pPr>
            <w:r>
              <w:rPr>
                <w:color w:val="2B2228"/>
                <w:sz w:val="17"/>
              </w:rPr>
              <w:t>BEMARA Personal / PWA</w:t>
            </w:r>
          </w:p>
        </w:tc>
        <w:tc>
          <w:tcPr>
            <w:tcW w:type="dxa" w:w="2541"/>
            <w:shd w:fill="F2E9E2"/>
            <w:vAlign w:val="center"/>
            <w:tcBorders>
              <w:bottom w:val="single" w:sz="4" w:color="E2D4CF"/>
            </w:tcBorders>
          </w:tcPr>
          <w:p>
            <w:pPr>
              <w:spacing w:after="0"/>
            </w:pPr>
            <w:r>
              <w:rPr>
                <w:color w:val="2B2228"/>
                <w:sz w:val="17"/>
              </w:rPr>
              <w:t>Centro Personal profundo: perspectiva, finanzas, salud longitudinal, Life Graph, documentos, tendencias, predicciones y planeación.</w:t>
            </w:r>
          </w:p>
        </w:tc>
        <w:tc>
          <w:tcPr>
            <w:tcW w:type="dxa" w:w="2541"/>
            <w:shd w:fill="F2E9E2"/>
            <w:vAlign w:val="center"/>
            <w:tcBorders>
              <w:bottom w:val="single" w:sz="4" w:color="E2D4CF"/>
            </w:tcBorders>
          </w:tcPr>
          <w:p>
            <w:pPr>
              <w:spacing w:after="0"/>
            </w:pPr>
            <w:r>
              <w:rPr>
                <w:color w:val="2B2228"/>
                <w:sz w:val="17"/>
              </w:rPr>
              <w:t>Next.js/React + TypeScript PWA</w:t>
            </w:r>
          </w:p>
        </w:tc>
        <w:tc>
          <w:tcPr>
            <w:tcW w:type="dxa" w:w="2541"/>
            <w:shd w:fill="F2E9E2"/>
            <w:vAlign w:val="center"/>
            <w:tcBorders>
              <w:bottom w:val="single" w:sz="4" w:color="E2D4CF"/>
            </w:tcBorders>
          </w:tcPr>
          <w:p>
            <w:pPr>
              <w:spacing w:after="0"/>
            </w:pPr>
            <w:r>
              <w:rPr>
                <w:color w:val="2B2228"/>
                <w:sz w:val="17"/>
              </w:rPr>
              <w:t>Consumer premium; sin sidebar administrativo.</w:t>
            </w:r>
          </w:p>
        </w:tc>
      </w:tr>
      <w:tr>
        <w:tc>
          <w:tcPr>
            <w:tcW w:type="dxa" w:w="2541"/>
            <w:shd w:fill="F7F1ED"/>
            <w:vAlign w:val="center"/>
            <w:tcBorders>
              <w:bottom w:val="single" w:sz="4" w:color="E2D4CF"/>
            </w:tcBorders>
          </w:tcPr>
          <w:p>
            <w:pPr>
              <w:spacing w:after="0"/>
            </w:pPr>
            <w:r>
              <w:rPr>
                <w:color w:val="2B2228"/>
                <w:sz w:val="17"/>
              </w:rPr>
              <w:t>bemara.me público</w:t>
            </w:r>
          </w:p>
        </w:tc>
        <w:tc>
          <w:tcPr>
            <w:tcW w:type="dxa" w:w="2541"/>
            <w:shd w:fill="F7F1ED"/>
            <w:vAlign w:val="center"/>
            <w:tcBorders>
              <w:bottom w:val="single" w:sz="4" w:color="E2D4CF"/>
            </w:tcBorders>
          </w:tcPr>
          <w:p>
            <w:pPr>
              <w:spacing w:after="0"/>
            </w:pPr>
            <w:r>
              <w:rPr>
                <w:color w:val="2B2228"/>
                <w:sz w:val="17"/>
              </w:rPr>
              <w:t>Sitio de marca, producto, planes, privacidad, FAQ, login y descargas.</w:t>
            </w:r>
          </w:p>
        </w:tc>
        <w:tc>
          <w:tcPr>
            <w:tcW w:type="dxa" w:w="2541"/>
            <w:shd w:fill="F7F1ED"/>
            <w:vAlign w:val="center"/>
            <w:tcBorders>
              <w:bottom w:val="single" w:sz="4" w:color="E2D4CF"/>
            </w:tcBorders>
          </w:tcPr>
          <w:p>
            <w:pPr>
              <w:spacing w:after="0"/>
            </w:pPr>
            <w:r>
              <w:rPr>
                <w:color w:val="2B2228"/>
                <w:sz w:val="17"/>
              </w:rPr>
              <w:t>Next.js + TypeScript</w:t>
            </w:r>
          </w:p>
        </w:tc>
        <w:tc>
          <w:tcPr>
            <w:tcW w:type="dxa" w:w="2541"/>
            <w:shd w:fill="F7F1ED"/>
            <w:vAlign w:val="center"/>
            <w:tcBorders>
              <w:bottom w:val="single" w:sz="4" w:color="E2D4CF"/>
            </w:tcBorders>
          </w:tcPr>
          <w:p>
            <w:pPr>
              <w:spacing w:after="0"/>
            </w:pPr>
            <w:r>
              <w:rPr>
                <w:color w:val="2B2228"/>
                <w:sz w:val="17"/>
              </w:rPr>
              <w:t>Editorial, SEO y adquisición.</w:t>
            </w:r>
          </w:p>
        </w:tc>
      </w:tr>
      <w:tr>
        <w:tc>
          <w:tcPr>
            <w:tcW w:type="dxa" w:w="2541"/>
            <w:shd w:fill="F2E9E2"/>
            <w:vAlign w:val="center"/>
            <w:tcBorders>
              <w:bottom w:val="single" w:sz="4" w:color="E2D4CF"/>
            </w:tcBorders>
          </w:tcPr>
          <w:p>
            <w:pPr>
              <w:spacing w:after="0"/>
            </w:pPr>
            <w:r>
              <w:rPr>
                <w:color w:val="2B2228"/>
                <w:sz w:val="17"/>
              </w:rPr>
              <w:t>BEMARA Operations</w:t>
            </w:r>
          </w:p>
        </w:tc>
        <w:tc>
          <w:tcPr>
            <w:tcW w:type="dxa" w:w="2541"/>
            <w:shd w:fill="F2E9E2"/>
            <w:vAlign w:val="center"/>
            <w:tcBorders>
              <w:bottom w:val="single" w:sz="4" w:color="E2D4CF"/>
            </w:tcBorders>
          </w:tcPr>
          <w:p>
            <w:pPr>
              <w:spacing w:after="0"/>
            </w:pPr>
            <w:r>
              <w:rPr>
                <w:color w:val="2B2228"/>
                <w:sz w:val="17"/>
              </w:rPr>
              <w:t>Operación interna: usuarios, entitlements, soporte, safety, costos IA, feature flags, consentimientos e incidencias.</w:t>
            </w:r>
          </w:p>
        </w:tc>
        <w:tc>
          <w:tcPr>
            <w:tcW w:type="dxa" w:w="2541"/>
            <w:shd w:fill="F2E9E2"/>
            <w:vAlign w:val="center"/>
            <w:tcBorders>
              <w:bottom w:val="single" w:sz="4" w:color="E2D4CF"/>
            </w:tcBorders>
          </w:tcPr>
          <w:p>
            <w:pPr>
              <w:spacing w:after="0"/>
            </w:pPr>
            <w:r>
              <w:rPr>
                <w:color w:val="2B2228"/>
                <w:sz w:val="17"/>
              </w:rPr>
              <w:t>Next.js + TypeScript</w:t>
            </w:r>
          </w:p>
        </w:tc>
        <w:tc>
          <w:tcPr>
            <w:tcW w:type="dxa" w:w="2541"/>
            <w:shd w:fill="F2E9E2"/>
            <w:vAlign w:val="center"/>
            <w:tcBorders>
              <w:bottom w:val="single" w:sz="4" w:color="E2D4CF"/>
            </w:tcBorders>
          </w:tcPr>
          <w:p>
            <w:pPr>
              <w:spacing w:after="0"/>
            </w:pPr>
            <w:r>
              <w:rPr>
                <w:color w:val="2B2228"/>
                <w:sz w:val="17"/>
              </w:rPr>
              <w:t>Admin interno separado; jamás reutilizar como PWA de usuaria.</w:t>
            </w:r>
          </w:p>
        </w:tc>
      </w:tr>
    </w:tbl>
    <w:p>
      <w:pPr>
        <w:spacing w:after="40"/>
      </w:pPr>
    </w:p>
    <w:p>
      <w:pPr>
        <w:pStyle w:val="Heading1"/>
      </w:pPr>
      <w:r>
        <w:t>4. Usuario objetivo, elegibilidad e inclusión</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Preguntar sólo lo necesario. Información corporal o sensible debe ser opcional, contextual y acompañada de explicación clara de por qué se solicita.</w:t>
            </w:r>
          </w:p>
        </w:tc>
      </w:tr>
    </w:tbl>
    <w:p>
      <w:pPr>
        <w:spacing w:after="20"/>
      </w:pPr>
    </w:p>
    <w:p>
      <w:pPr>
        <w:keepLines w:val="0"/>
      </w:pPr>
      <w:r>
        <w:t>BEMARA se lanza para mujeres adultas, con foco de producto desde los 20 años en adelante. V1 no se diseña para menores. La plataforma debe acompañar distintas etapas y realidades sin forzar un modelo de vida único.</w:t>
      </w:r>
    </w:p>
    <w:p>
      <w:pPr>
        <w:keepLines w:val="0"/>
      </w:pPr>
      <w:r>
        <w:t>Identidad, anatomía relevante, situación hormonal/reproductiva, maternidad, orientación, relación de pareja y etapa vital se modelan como dimensiones independientes. Ninguna se deduce silenciosamente a partir de otra.</w:t>
      </w:r>
    </w:p>
    <w:p>
      <w:pPr>
        <w:pStyle w:val="ListBullet"/>
        <w:spacing w:after="50"/>
        <w:ind w:left="317" w:hanging="173"/>
      </w:pPr>
      <w:r>
        <w:rPr>
          <w:color w:val="2B2228"/>
          <w:sz w:val="18"/>
        </w:rPr>
        <w:t>Mujeres cis y mujeres trans.</w:t>
      </w:r>
    </w:p>
    <w:p>
      <w:pPr>
        <w:pStyle w:val="ListBullet"/>
        <w:spacing w:after="50"/>
        <w:ind w:left="317" w:hanging="173"/>
      </w:pPr>
      <w:r>
        <w:rPr>
          <w:color w:val="2B2228"/>
          <w:sz w:val="18"/>
        </w:rPr>
        <w:t>Solteras, en pareja, casadas, separadas, divorciadas o viudas.</w:t>
      </w:r>
    </w:p>
    <w:p>
      <w:pPr>
        <w:pStyle w:val="ListBullet"/>
        <w:spacing w:after="50"/>
        <w:ind w:left="317" w:hanging="173"/>
      </w:pPr>
      <w:r>
        <w:rPr>
          <w:color w:val="2B2228"/>
          <w:sz w:val="18"/>
        </w:rPr>
        <w:t>Con hijos, sin hijos por elección, infertilidad, adopción o pérdidas gestacionales.</w:t>
      </w:r>
    </w:p>
    <w:p>
      <w:pPr>
        <w:pStyle w:val="ListBullet"/>
        <w:spacing w:after="50"/>
        <w:ind w:left="317" w:hanging="173"/>
      </w:pPr>
      <w:r>
        <w:rPr>
          <w:color w:val="2B2228"/>
          <w:sz w:val="18"/>
        </w:rPr>
        <w:t>Mujeres con histerectomía, amenorrea, terapia hormonal u otras realidades corporales pertinentes.</w:t>
      </w:r>
    </w:p>
    <w:p>
      <w:pPr>
        <w:pStyle w:val="ListBullet"/>
        <w:spacing w:after="50"/>
        <w:ind w:left="317" w:hanging="173"/>
      </w:pPr>
      <w:r>
        <w:rPr>
          <w:color w:val="2B2228"/>
          <w:sz w:val="18"/>
        </w:rPr>
        <w:t>Madres de bebés, niños, adolescentes o hijos adultos; abuelas; cuidadoras de padres u otros familiares.</w:t>
      </w:r>
    </w:p>
    <w:p>
      <w:pPr>
        <w:pStyle w:val="ListBullet"/>
        <w:spacing w:after="50"/>
        <w:ind w:left="317" w:hanging="173"/>
      </w:pPr>
      <w:r>
        <w:rPr>
          <w:color w:val="2B2228"/>
          <w:sz w:val="18"/>
        </w:rPr>
        <w:t>Profesionales, empleadas, estudiantes adultas, emprendedoras, cuidadoras, jubiladas o en reinvención.</w:t>
      </w:r>
    </w:p>
    <w:p>
      <w:pPr>
        <w:pStyle w:val="Heading1"/>
      </w:pPr>
      <w:r>
        <w:t>5. Arquitectura adaptativa: una plataforma distinta para cada mujer</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BEMARA no muestra el catálogo completo de capacidades como un menú interminable. El producto completo existe por debajo; la experiencia visible se adapta a la mujer, a su etapa y a sus prioridades.</w:t>
      </w:r>
    </w:p>
    <w:p>
      <w:pPr>
        <w:keepLines w:val="0"/>
      </w:pPr>
      <w:r>
        <w:t>Cada dominio/capacidad puede estar Activo, Contextual o Dormido. Un dominio dormido no desaparece del producto: simplemente no ocupa atención hasta que tenga sentido. La usuaria puede activarlo manualmente en cualquier momento.</w:t>
      </w:r>
    </w:p>
    <w:p>
      <w:pPr>
        <w:pStyle w:val="ListBullet"/>
        <w:spacing w:after="50"/>
        <w:ind w:left="317" w:hanging="173"/>
      </w:pPr>
      <w:r>
        <w:rPr>
          <w:color w:val="2B2228"/>
          <w:sz w:val="18"/>
        </w:rPr>
        <w:t>Activo: relevante ahora y visible en Home/Personal.</w:t>
      </w:r>
    </w:p>
    <w:p>
      <w:pPr>
        <w:pStyle w:val="ListBullet"/>
        <w:spacing w:after="50"/>
        <w:ind w:left="317" w:hanging="173"/>
      </w:pPr>
      <w:r>
        <w:rPr>
          <w:color w:val="2B2228"/>
          <w:sz w:val="18"/>
        </w:rPr>
        <w:t>Contextual: puede aparecer por un acontecimiento, patrón o decisión de la usuaria.</w:t>
      </w:r>
    </w:p>
    <w:p>
      <w:pPr>
        <w:pStyle w:val="ListBullet"/>
        <w:spacing w:after="50"/>
        <w:ind w:left="317" w:hanging="173"/>
      </w:pPr>
      <w:r>
        <w:rPr>
          <w:color w:val="2B2228"/>
          <w:sz w:val="18"/>
        </w:rPr>
        <w:t>Dormido: existe pero no distrae.</w:t>
      </w:r>
    </w:p>
    <w:p>
      <w:pPr>
        <w:pStyle w:val="ListBullet"/>
        <w:spacing w:after="50"/>
        <w:ind w:left="317" w:hanging="173"/>
      </w:pPr>
      <w:r>
        <w:rPr>
          <w:color w:val="2B2228"/>
          <w:sz w:val="18"/>
        </w:rPr>
        <w:t>Nunca activar una categoría sensible sólo por inferencia. LENA propone y la usuaria decide.</w:t>
      </w:r>
    </w:p>
    <w:p>
      <w:pPr>
        <w:pStyle w:val="Heading1"/>
      </w:pPr>
      <w:r>
        <w:t>6. Onboarding y Test BEMARA</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El onboarding no es un formulario demográfico. Es el primer modelo contextual de la usuaria. Debe ser ramificado, amable, opcional por bloques y con “prefiero no responder” donde corresponda. Objetivo orientativo: 7–10 minutos para la ruta completa, con versión rápida y progressive profiling posterior.</w:t>
      </w:r>
    </w:p>
    <w:p>
      <w:pPr>
        <w:keepLines w:val="0"/>
      </w:pPr>
      <w:r>
        <w:t>Al finalizar, BEMARA muestra “Así queda BEMARA para ti hoy”: no una lista de 28 módulos, sino una experiencia inicial con prioridades y la posibilidad de ajustar.</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241820"/>
            <w:vAlign w:val="center"/>
          </w:tcPr>
          <w:p>
            <w:r>
              <w:rPr>
                <w:b/>
                <w:color w:val="FFFFFF"/>
                <w:sz w:val="17"/>
              </w:rPr>
              <w:t>Bloque</w:t>
            </w:r>
          </w:p>
        </w:tc>
        <w:tc>
          <w:tcPr>
            <w:tcW w:type="dxa" w:w="3389"/>
            <w:shd w:fill="241820"/>
            <w:vAlign w:val="center"/>
          </w:tcPr>
          <w:p>
            <w:r>
              <w:rPr>
                <w:b/>
                <w:color w:val="FFFFFF"/>
                <w:sz w:val="17"/>
              </w:rPr>
              <w:t>Qué busca comprender</w:t>
            </w:r>
          </w:p>
        </w:tc>
        <w:tc>
          <w:tcPr>
            <w:tcW w:type="dxa" w:w="3389"/>
            <w:shd w:fill="241820"/>
            <w:vAlign w:val="center"/>
          </w:tcPr>
          <w:p>
            <w:r>
              <w:rPr>
                <w:b/>
                <w:color w:val="FFFFFF"/>
                <w:sz w:val="17"/>
              </w:rPr>
              <w:t>Resultado</w:t>
            </w:r>
          </w:p>
        </w:tc>
      </w:tr>
      <w:tr>
        <w:tc>
          <w:tcPr>
            <w:tcW w:type="dxa" w:w="3389"/>
            <w:shd w:fill="F7F1ED"/>
            <w:vAlign w:val="center"/>
            <w:tcBorders>
              <w:bottom w:val="single" w:sz="4" w:color="E2D4CF"/>
            </w:tcBorders>
          </w:tcPr>
          <w:p>
            <w:pPr>
              <w:spacing w:after="0"/>
            </w:pPr>
            <w:r>
              <w:rPr>
                <w:color w:val="2B2228"/>
                <w:sz w:val="17"/>
              </w:rPr>
              <w:t>Identidad y lenguaje</w:t>
            </w:r>
          </w:p>
        </w:tc>
        <w:tc>
          <w:tcPr>
            <w:tcW w:type="dxa" w:w="3389"/>
            <w:shd w:fill="F7F1ED"/>
            <w:vAlign w:val="center"/>
            <w:tcBorders>
              <w:bottom w:val="single" w:sz="4" w:color="E2D4CF"/>
            </w:tcBorders>
          </w:tcPr>
          <w:p>
            <w:pPr>
              <w:spacing w:after="0"/>
            </w:pPr>
            <w:r>
              <w:rPr>
                <w:color w:val="2B2228"/>
                <w:sz w:val="17"/>
              </w:rPr>
              <w:t>Nombre, pronombre si desea, idioma principal, Bilingual Mode.</w:t>
            </w:r>
          </w:p>
        </w:tc>
        <w:tc>
          <w:tcPr>
            <w:tcW w:type="dxa" w:w="3389"/>
            <w:shd w:fill="F7F1ED"/>
            <w:vAlign w:val="center"/>
            <w:tcBorders>
              <w:bottom w:val="single" w:sz="4" w:color="E2D4CF"/>
            </w:tcBorders>
          </w:tcPr>
          <w:p>
            <w:pPr>
              <w:spacing w:after="0"/>
            </w:pPr>
            <w:r>
              <w:rPr>
                <w:color w:val="2B2228"/>
                <w:sz w:val="17"/>
              </w:rPr>
              <w:t>Experiencia lingüística y tono inicial.</w:t>
            </w:r>
          </w:p>
        </w:tc>
      </w:tr>
      <w:tr>
        <w:tc>
          <w:tcPr>
            <w:tcW w:type="dxa" w:w="3389"/>
            <w:shd w:fill="F2E9E2"/>
            <w:vAlign w:val="center"/>
            <w:tcBorders>
              <w:bottom w:val="single" w:sz="4" w:color="E2D4CF"/>
            </w:tcBorders>
          </w:tcPr>
          <w:p>
            <w:pPr>
              <w:spacing w:after="0"/>
            </w:pPr>
            <w:r>
              <w:rPr>
                <w:color w:val="2B2228"/>
                <w:sz w:val="17"/>
              </w:rPr>
              <w:t>Etapa de vida</w:t>
            </w:r>
          </w:p>
        </w:tc>
        <w:tc>
          <w:tcPr>
            <w:tcW w:type="dxa" w:w="3389"/>
            <w:shd w:fill="F2E9E2"/>
            <w:vAlign w:val="center"/>
            <w:tcBorders>
              <w:bottom w:val="single" w:sz="4" w:color="E2D4CF"/>
            </w:tcBorders>
          </w:tcPr>
          <w:p>
            <w:pPr>
              <w:spacing w:after="0"/>
            </w:pPr>
            <w:r>
              <w:rPr>
                <w:color w:val="2B2228"/>
                <w:sz w:val="17"/>
              </w:rPr>
              <w:t>Edad, relación, vivienda, grandes transiciones actuales.</w:t>
            </w:r>
          </w:p>
        </w:tc>
        <w:tc>
          <w:tcPr>
            <w:tcW w:type="dxa" w:w="3389"/>
            <w:shd w:fill="F2E9E2"/>
            <w:vAlign w:val="center"/>
            <w:tcBorders>
              <w:bottom w:val="single" w:sz="4" w:color="E2D4CF"/>
            </w:tcBorders>
          </w:tcPr>
          <w:p>
            <w:pPr>
              <w:spacing w:after="0"/>
            </w:pPr>
            <w:r>
              <w:rPr>
                <w:color w:val="2B2228"/>
                <w:sz w:val="17"/>
              </w:rPr>
              <w:t>Prioridades contextuales.</w:t>
            </w:r>
          </w:p>
        </w:tc>
      </w:tr>
      <w:tr>
        <w:tc>
          <w:tcPr>
            <w:tcW w:type="dxa" w:w="3389"/>
            <w:shd w:fill="F7F1ED"/>
            <w:vAlign w:val="center"/>
            <w:tcBorders>
              <w:bottom w:val="single" w:sz="4" w:color="E2D4CF"/>
            </w:tcBorders>
          </w:tcPr>
          <w:p>
            <w:pPr>
              <w:spacing w:after="0"/>
            </w:pPr>
            <w:r>
              <w:rPr>
                <w:color w:val="2B2228"/>
                <w:sz w:val="17"/>
              </w:rPr>
              <w:t>Personas y cuidado</w:t>
            </w:r>
          </w:p>
        </w:tc>
        <w:tc>
          <w:tcPr>
            <w:tcW w:type="dxa" w:w="3389"/>
            <w:shd w:fill="F7F1ED"/>
            <w:vAlign w:val="center"/>
            <w:tcBorders>
              <w:bottom w:val="single" w:sz="4" w:color="E2D4CF"/>
            </w:tcBorders>
          </w:tcPr>
          <w:p>
            <w:pPr>
              <w:spacing w:after="0"/>
            </w:pPr>
            <w:r>
              <w:rPr>
                <w:color w:val="2B2228"/>
                <w:sz w:val="17"/>
              </w:rPr>
              <w:t>Hijos/edades si aplica, padres/personas a cargo, mascotas.</w:t>
            </w:r>
          </w:p>
        </w:tc>
        <w:tc>
          <w:tcPr>
            <w:tcW w:type="dxa" w:w="3389"/>
            <w:shd w:fill="F7F1ED"/>
            <w:vAlign w:val="center"/>
            <w:tcBorders>
              <w:bottom w:val="single" w:sz="4" w:color="E2D4CF"/>
            </w:tcBorders>
          </w:tcPr>
          <w:p>
            <w:pPr>
              <w:spacing w:after="0"/>
            </w:pPr>
            <w:r>
              <w:rPr>
                <w:color w:val="2B2228"/>
                <w:sz w:val="17"/>
              </w:rPr>
              <w:t>Mapa inicial de responsabilidades.</w:t>
            </w:r>
          </w:p>
        </w:tc>
      </w:tr>
      <w:tr>
        <w:tc>
          <w:tcPr>
            <w:tcW w:type="dxa" w:w="3389"/>
            <w:shd w:fill="F2E9E2"/>
            <w:vAlign w:val="center"/>
            <w:tcBorders>
              <w:bottom w:val="single" w:sz="4" w:color="E2D4CF"/>
            </w:tcBorders>
          </w:tcPr>
          <w:p>
            <w:pPr>
              <w:spacing w:after="0"/>
            </w:pPr>
            <w:r>
              <w:rPr>
                <w:color w:val="2B2228"/>
                <w:sz w:val="17"/>
              </w:rPr>
              <w:t>Trabajo y crecimiento</w:t>
            </w:r>
          </w:p>
        </w:tc>
        <w:tc>
          <w:tcPr>
            <w:tcW w:type="dxa" w:w="3389"/>
            <w:shd w:fill="F2E9E2"/>
            <w:vAlign w:val="center"/>
            <w:tcBorders>
              <w:bottom w:val="single" w:sz="4" w:color="E2D4CF"/>
            </w:tcBorders>
          </w:tcPr>
          <w:p>
            <w:pPr>
              <w:spacing w:after="0"/>
            </w:pPr>
            <w:r>
              <w:rPr>
                <w:color w:val="2B2228"/>
                <w:sz w:val="17"/>
              </w:rPr>
              <w:t>Empleo, carrera, emprendimiento, estudios, objetivos.</w:t>
            </w:r>
          </w:p>
        </w:tc>
        <w:tc>
          <w:tcPr>
            <w:tcW w:type="dxa" w:w="3389"/>
            <w:shd w:fill="F2E9E2"/>
            <w:vAlign w:val="center"/>
            <w:tcBorders>
              <w:bottom w:val="single" w:sz="4" w:color="E2D4CF"/>
            </w:tcBorders>
          </w:tcPr>
          <w:p>
            <w:pPr>
              <w:spacing w:after="0"/>
            </w:pPr>
            <w:r>
              <w:rPr>
                <w:color w:val="2B2228"/>
                <w:sz w:val="17"/>
              </w:rPr>
              <w:t>Dominio Work/Growth.</w:t>
            </w:r>
          </w:p>
        </w:tc>
      </w:tr>
      <w:tr>
        <w:tc>
          <w:tcPr>
            <w:tcW w:type="dxa" w:w="3389"/>
            <w:shd w:fill="F7F1ED"/>
            <w:vAlign w:val="center"/>
            <w:tcBorders>
              <w:bottom w:val="single" w:sz="4" w:color="E2D4CF"/>
            </w:tcBorders>
          </w:tcPr>
          <w:p>
            <w:pPr>
              <w:spacing w:after="0"/>
            </w:pPr>
            <w:r>
              <w:rPr>
                <w:color w:val="2B2228"/>
                <w:sz w:val="17"/>
              </w:rPr>
              <w:t>Dinero</w:t>
            </w:r>
          </w:p>
        </w:tc>
        <w:tc>
          <w:tcPr>
            <w:tcW w:type="dxa" w:w="3389"/>
            <w:shd w:fill="F7F1ED"/>
            <w:vAlign w:val="center"/>
            <w:tcBorders>
              <w:bottom w:val="single" w:sz="4" w:color="E2D4CF"/>
            </w:tcBorders>
          </w:tcPr>
          <w:p>
            <w:pPr>
              <w:spacing w:after="0"/>
            </w:pPr>
            <w:r>
              <w:rPr>
                <w:color w:val="2B2228"/>
                <w:sz w:val="17"/>
              </w:rPr>
              <w:t>Nivel deseado de ayuda, objetivos, preocupaciones; sin forzar cifras sensibles.</w:t>
            </w:r>
          </w:p>
        </w:tc>
        <w:tc>
          <w:tcPr>
            <w:tcW w:type="dxa" w:w="3389"/>
            <w:shd w:fill="F7F1ED"/>
            <w:vAlign w:val="center"/>
            <w:tcBorders>
              <w:bottom w:val="single" w:sz="4" w:color="E2D4CF"/>
            </w:tcBorders>
          </w:tcPr>
          <w:p>
            <w:pPr>
              <w:spacing w:after="0"/>
            </w:pPr>
            <w:r>
              <w:rPr>
                <w:color w:val="2B2228"/>
                <w:sz w:val="17"/>
              </w:rPr>
              <w:t>Configuración financiera inicial.</w:t>
            </w:r>
          </w:p>
        </w:tc>
      </w:tr>
      <w:tr>
        <w:tc>
          <w:tcPr>
            <w:tcW w:type="dxa" w:w="3389"/>
            <w:shd w:fill="F2E9E2"/>
            <w:vAlign w:val="center"/>
            <w:tcBorders>
              <w:bottom w:val="single" w:sz="4" w:color="E2D4CF"/>
            </w:tcBorders>
          </w:tcPr>
          <w:p>
            <w:pPr>
              <w:spacing w:after="0"/>
            </w:pPr>
            <w:r>
              <w:rPr>
                <w:color w:val="2B2228"/>
                <w:sz w:val="17"/>
              </w:rPr>
              <w:t>Cuerpo y bienestar</w:t>
            </w:r>
          </w:p>
        </w:tc>
        <w:tc>
          <w:tcPr>
            <w:tcW w:type="dxa" w:w="3389"/>
            <w:shd w:fill="F2E9E2"/>
            <w:vAlign w:val="center"/>
            <w:tcBorders>
              <w:bottom w:val="single" w:sz="4" w:color="E2D4CF"/>
            </w:tcBorders>
          </w:tcPr>
          <w:p>
            <w:pPr>
              <w:spacing w:after="0"/>
            </w:pPr>
            <w:r>
              <w:rPr>
                <w:color w:val="2B2228"/>
                <w:sz w:val="17"/>
              </w:rPr>
              <w:t>Sueño, energía, prioridades físicas; salud femenina sólo cuando corresponda.</w:t>
            </w:r>
          </w:p>
        </w:tc>
        <w:tc>
          <w:tcPr>
            <w:tcW w:type="dxa" w:w="3389"/>
            <w:shd w:fill="F2E9E2"/>
            <w:vAlign w:val="center"/>
            <w:tcBorders>
              <w:bottom w:val="single" w:sz="4" w:color="E2D4CF"/>
            </w:tcBorders>
          </w:tcPr>
          <w:p>
            <w:pPr>
              <w:spacing w:after="0"/>
            </w:pPr>
            <w:r>
              <w:rPr>
                <w:color w:val="2B2228"/>
                <w:sz w:val="17"/>
              </w:rPr>
              <w:t>Módulos corporales relevantes.</w:t>
            </w:r>
          </w:p>
        </w:tc>
      </w:tr>
      <w:tr>
        <w:tc>
          <w:tcPr>
            <w:tcW w:type="dxa" w:w="3389"/>
            <w:shd w:fill="F7F1ED"/>
            <w:vAlign w:val="center"/>
            <w:tcBorders>
              <w:bottom w:val="single" w:sz="4" w:color="E2D4CF"/>
            </w:tcBorders>
          </w:tcPr>
          <w:p>
            <w:pPr>
              <w:spacing w:after="0"/>
            </w:pPr>
            <w:r>
              <w:rPr>
                <w:color w:val="2B2228"/>
                <w:sz w:val="17"/>
              </w:rPr>
              <w:t>Mente y emociones</w:t>
            </w:r>
          </w:p>
        </w:tc>
        <w:tc>
          <w:tcPr>
            <w:tcW w:type="dxa" w:w="3389"/>
            <w:shd w:fill="F7F1ED"/>
            <w:vAlign w:val="center"/>
            <w:tcBorders>
              <w:bottom w:val="single" w:sz="4" w:color="E2D4CF"/>
            </w:tcBorders>
          </w:tcPr>
          <w:p>
            <w:pPr>
              <w:spacing w:after="0"/>
            </w:pPr>
            <w:r>
              <w:rPr>
                <w:color w:val="2B2228"/>
                <w:sz w:val="17"/>
              </w:rPr>
              <w:t>Cómo quiere usar LENA: escucha, claridad, organización, decisiones.</w:t>
            </w:r>
          </w:p>
        </w:tc>
        <w:tc>
          <w:tcPr>
            <w:tcW w:type="dxa" w:w="3389"/>
            <w:shd w:fill="F7F1ED"/>
            <w:vAlign w:val="center"/>
            <w:tcBorders>
              <w:bottom w:val="single" w:sz="4" w:color="E2D4CF"/>
            </w:tcBorders>
          </w:tcPr>
          <w:p>
            <w:pPr>
              <w:spacing w:after="0"/>
            </w:pPr>
            <w:r>
              <w:rPr>
                <w:color w:val="2B2228"/>
                <w:sz w:val="17"/>
              </w:rPr>
              <w:t>Modos de acompañamiento.</w:t>
            </w:r>
          </w:p>
        </w:tc>
      </w:tr>
      <w:tr>
        <w:tc>
          <w:tcPr>
            <w:tcW w:type="dxa" w:w="3389"/>
            <w:shd w:fill="F2E9E2"/>
            <w:vAlign w:val="center"/>
            <w:tcBorders>
              <w:bottom w:val="single" w:sz="4" w:color="E2D4CF"/>
            </w:tcBorders>
          </w:tcPr>
          <w:p>
            <w:pPr>
              <w:spacing w:after="0"/>
            </w:pPr>
            <w:r>
              <w:rPr>
                <w:color w:val="2B2228"/>
                <w:sz w:val="17"/>
              </w:rPr>
              <w:t>Prioridades</w:t>
            </w:r>
          </w:p>
        </w:tc>
        <w:tc>
          <w:tcPr>
            <w:tcW w:type="dxa" w:w="3389"/>
            <w:shd w:fill="F2E9E2"/>
            <w:vAlign w:val="center"/>
            <w:tcBorders>
              <w:bottom w:val="single" w:sz="4" w:color="E2D4CF"/>
            </w:tcBorders>
          </w:tcPr>
          <w:p>
            <w:pPr>
              <w:spacing w:after="0"/>
            </w:pPr>
            <w:r>
              <w:rPr>
                <w:color w:val="2B2228"/>
                <w:sz w:val="17"/>
              </w:rPr>
              <w:t>Elegir áreas que quiere tener al frente ahora.</w:t>
            </w:r>
          </w:p>
        </w:tc>
        <w:tc>
          <w:tcPr>
            <w:tcW w:type="dxa" w:w="3389"/>
            <w:shd w:fill="F2E9E2"/>
            <w:vAlign w:val="center"/>
            <w:tcBorders>
              <w:bottom w:val="single" w:sz="4" w:color="E2D4CF"/>
            </w:tcBorders>
          </w:tcPr>
          <w:p>
            <w:pPr>
              <w:spacing w:after="0"/>
            </w:pPr>
            <w:r>
              <w:rPr>
                <w:color w:val="2B2228"/>
                <w:sz w:val="17"/>
              </w:rPr>
              <w:t>Home inicial.</w:t>
            </w:r>
          </w:p>
        </w:tc>
      </w:tr>
      <w:tr>
        <w:tc>
          <w:tcPr>
            <w:tcW w:type="dxa" w:w="3389"/>
            <w:shd w:fill="F7F1ED"/>
            <w:vAlign w:val="center"/>
            <w:tcBorders>
              <w:bottom w:val="single" w:sz="4" w:color="E2D4CF"/>
            </w:tcBorders>
          </w:tcPr>
          <w:p>
            <w:pPr>
              <w:spacing w:after="0"/>
            </w:pPr>
            <w:r>
              <w:rPr>
                <w:color w:val="2B2228"/>
                <w:sz w:val="17"/>
              </w:rPr>
              <w:t>Privacidad</w:t>
            </w:r>
          </w:p>
        </w:tc>
        <w:tc>
          <w:tcPr>
            <w:tcW w:type="dxa" w:w="3389"/>
            <w:shd w:fill="F7F1ED"/>
            <w:vAlign w:val="center"/>
            <w:tcBorders>
              <w:bottom w:val="single" w:sz="4" w:color="E2D4CF"/>
            </w:tcBorders>
          </w:tcPr>
          <w:p>
            <w:pPr>
              <w:spacing w:after="0"/>
            </w:pPr>
            <w:r>
              <w:rPr>
                <w:color w:val="2B2228"/>
                <w:sz w:val="17"/>
              </w:rPr>
              <w:t>Memoria, permisos, datos sensibles, integraciones.</w:t>
            </w:r>
          </w:p>
        </w:tc>
        <w:tc>
          <w:tcPr>
            <w:tcW w:type="dxa" w:w="3389"/>
            <w:shd w:fill="F7F1ED"/>
            <w:vAlign w:val="center"/>
            <w:tcBorders>
              <w:bottom w:val="single" w:sz="4" w:color="E2D4CF"/>
            </w:tcBorders>
          </w:tcPr>
          <w:p>
            <w:pPr>
              <w:spacing w:after="0"/>
            </w:pPr>
            <w:r>
              <w:rPr>
                <w:color w:val="2B2228"/>
                <w:sz w:val="17"/>
              </w:rPr>
              <w:t>Consentimientos auditables.</w:t>
            </w:r>
          </w:p>
        </w:tc>
      </w:tr>
    </w:tbl>
    <w:p>
      <w:pPr>
        <w:spacing w:after="40"/>
      </w:pPr>
    </w:p>
    <w:p>
      <w:pPr>
        <w:pStyle w:val="Heading1"/>
      </w:pPr>
      <w:r>
        <w:t>7. Home adaptativo y navegación</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No existe un Home universal. El Home se compone según prioridad, urgencia, relevancia, beneficios esperados, preferencias fijadas por la usuaria y fatiga de notificaciones/interacciones.</w:t>
      </w:r>
    </w:p>
    <w:p>
      <w:pPr>
        <w:keepLines w:val="0"/>
      </w:pPr>
      <w:r>
        <w:t>La navegación consumer no deberá usar un sidebar administrativo persistente. En desktop/PWA se prioriza barra superior ligera, búsqueda/comando, navegación contextual, espacios editoriales y paneles que cambian según la intención. En mobile se limita a 4–5 destinos principales y LENA siempre accesible.</w:t>
      </w:r>
    </w:p>
    <w:p>
      <w:pPr>
        <w:pStyle w:val="ListBullet"/>
        <w:spacing w:after="50"/>
        <w:ind w:left="317" w:hanging="173"/>
      </w:pPr>
      <w:r>
        <w:rPr>
          <w:color w:val="2B2228"/>
          <w:sz w:val="18"/>
        </w:rPr>
        <w:t>Una “claridad de hoy” puede ser una narrativa, no un KPI.</w:t>
      </w:r>
    </w:p>
    <w:p>
      <w:pPr>
        <w:pStyle w:val="ListBullet"/>
        <w:spacing w:after="50"/>
        <w:ind w:left="317" w:hanging="173"/>
      </w:pPr>
      <w:r>
        <w:rPr>
          <w:color w:val="2B2228"/>
          <w:sz w:val="18"/>
        </w:rPr>
        <w:t>Evitar 12 cards iguales. Usar jerarquía: insight principal, acciones, historia, visualizaciones y contexto.</w:t>
      </w:r>
    </w:p>
    <w:p>
      <w:pPr>
        <w:pStyle w:val="ListBullet"/>
        <w:spacing w:after="50"/>
        <w:ind w:left="317" w:hanging="173"/>
      </w:pPr>
      <w:r>
        <w:rPr>
          <w:color w:val="2B2228"/>
          <w:sz w:val="18"/>
        </w:rPr>
        <w:t>Las gráficas deben responder una pregunta concreta de la mujer, no decorar.</w:t>
      </w:r>
    </w:p>
    <w:p>
      <w:pPr>
        <w:pStyle w:val="ListBullet"/>
        <w:spacing w:after="50"/>
        <w:ind w:left="317" w:hanging="173"/>
      </w:pPr>
      <w:r>
        <w:rPr>
          <w:color w:val="2B2228"/>
          <w:sz w:val="18"/>
        </w:rPr>
        <w:t>Toda insight importante ofrece “¿Por qué estoy viendo esto?” y muestra las señales utilizadas.</w:t>
      </w:r>
    </w:p>
    <w:p>
      <w:pPr>
        <w:pStyle w:val="ListBullet"/>
        <w:spacing w:after="50"/>
        <w:ind w:left="317" w:hanging="173"/>
      </w:pPr>
      <w:r>
        <w:rPr>
          <w:color w:val="2B2228"/>
          <w:sz w:val="18"/>
        </w:rPr>
        <w:t>La usuaria puede fijar, ocultar o bajar prioridad de áreas.</w:t>
      </w:r>
    </w:p>
    <w:p>
      <w:pPr>
        <w:pStyle w:val="Heading1"/>
      </w:pPr>
      <w:r>
        <w:t>8. Taxonomía funcional: dominios y subdominios</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Los siguientes dominios son la arquitectura funcional interna. No implican 14 botones visibles. LENA y el Home adaptativo pueden atravesar varios dominios en una sola interacción.</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241820"/>
            <w:vAlign w:val="center"/>
          </w:tcPr>
          <w:p>
            <w:r>
              <w:rPr>
                <w:b/>
                <w:color w:val="FFFFFF"/>
                <w:sz w:val="17"/>
              </w:rPr>
              <w:t>Dominio</w:t>
            </w:r>
          </w:p>
        </w:tc>
        <w:tc>
          <w:tcPr>
            <w:tcW w:type="dxa" w:w="5083"/>
            <w:shd w:fill="241820"/>
            <w:vAlign w:val="center"/>
          </w:tcPr>
          <w:p>
            <w:r>
              <w:rPr>
                <w:b/>
                <w:color w:val="FFFFFF"/>
                <w:sz w:val="17"/>
              </w:rPr>
              <w:t>Subdominios principales</w:t>
            </w:r>
          </w:p>
        </w:tc>
      </w:tr>
      <w:tr>
        <w:tc>
          <w:tcPr>
            <w:tcW w:type="dxa" w:w="5083"/>
            <w:shd w:fill="F7F1ED"/>
            <w:vAlign w:val="center"/>
            <w:tcBorders>
              <w:bottom w:val="single" w:sz="4" w:color="E2D4CF"/>
            </w:tcBorders>
          </w:tcPr>
          <w:p>
            <w:pPr>
              <w:spacing w:after="0"/>
            </w:pPr>
            <w:r>
              <w:rPr>
                <w:color w:val="2B2228"/>
                <w:sz w:val="17"/>
              </w:rPr>
              <w:t>Claridad / Orquestación</w:t>
            </w:r>
          </w:p>
        </w:tc>
        <w:tc>
          <w:tcPr>
            <w:tcW w:type="dxa" w:w="5083"/>
            <w:shd w:fill="F7F1ED"/>
            <w:vAlign w:val="center"/>
            <w:tcBorders>
              <w:bottom w:val="single" w:sz="4" w:color="E2D4CF"/>
            </w:tcBorders>
          </w:tcPr>
          <w:p>
            <w:pPr>
              <w:spacing w:after="0"/>
            </w:pPr>
            <w:r>
              <w:rPr>
                <w:color w:val="2B2228"/>
                <w:sz w:val="17"/>
              </w:rPr>
              <w:t>Home adaptativo, prioridades, Daily/Weekly Brief, insights, “qué necesita atención”.</w:t>
            </w:r>
          </w:p>
        </w:tc>
      </w:tr>
      <w:tr>
        <w:tc>
          <w:tcPr>
            <w:tcW w:type="dxa" w:w="5083"/>
            <w:shd w:fill="F2E9E2"/>
            <w:vAlign w:val="center"/>
            <w:tcBorders>
              <w:bottom w:val="single" w:sz="4" w:color="E2D4CF"/>
            </w:tcBorders>
          </w:tcPr>
          <w:p>
            <w:pPr>
              <w:spacing w:after="0"/>
            </w:pPr>
            <w:r>
              <w:rPr>
                <w:color w:val="2B2228"/>
                <w:sz w:val="17"/>
              </w:rPr>
              <w:t>Cuerpo &amp; Salud</w:t>
            </w:r>
          </w:p>
        </w:tc>
        <w:tc>
          <w:tcPr>
            <w:tcW w:type="dxa" w:w="5083"/>
            <w:shd w:fill="F2E9E2"/>
            <w:vAlign w:val="center"/>
            <w:tcBorders>
              <w:bottom w:val="single" w:sz="4" w:color="E2D4CF"/>
            </w:tcBorders>
          </w:tcPr>
          <w:p>
            <w:pPr>
              <w:spacing w:after="0"/>
            </w:pPr>
            <w:r>
              <w:rPr>
                <w:color w:val="2B2228"/>
                <w:sz w:val="17"/>
              </w:rPr>
              <w:t>Salud femenina, ciclo/hormonas cuando aplique, fertilidad/embarazo/postpartum, peri/menopausia, sueño, energía, síntomas, dolor, digestión, movimiento, nutrición, fuerza, hueso, cardiovascular, suelo pélvico, sexualidad, medicamentos/estudios/wearables.</w:t>
            </w:r>
          </w:p>
        </w:tc>
      </w:tr>
      <w:tr>
        <w:tc>
          <w:tcPr>
            <w:tcW w:type="dxa" w:w="5083"/>
            <w:shd w:fill="F7F1ED"/>
            <w:vAlign w:val="center"/>
            <w:tcBorders>
              <w:bottom w:val="single" w:sz="4" w:color="E2D4CF"/>
            </w:tcBorders>
          </w:tcPr>
          <w:p>
            <w:pPr>
              <w:spacing w:after="0"/>
            </w:pPr>
            <w:r>
              <w:rPr>
                <w:color w:val="2B2228"/>
                <w:sz w:val="17"/>
              </w:rPr>
              <w:t>Mente &amp; Emociones</w:t>
            </w:r>
          </w:p>
        </w:tc>
        <w:tc>
          <w:tcPr>
            <w:tcW w:type="dxa" w:w="5083"/>
            <w:shd w:fill="F7F1ED"/>
            <w:vAlign w:val="center"/>
            <w:tcBorders>
              <w:bottom w:val="single" w:sz="4" w:color="E2D4CF"/>
            </w:tcBorders>
          </w:tcPr>
          <w:p>
            <w:pPr>
              <w:spacing w:after="0"/>
            </w:pPr>
            <w:r>
              <w:rPr>
                <w:color w:val="2B2228"/>
                <w:sz w:val="17"/>
              </w:rPr>
              <w:t>Estrés, ansiedad percibida, tristeza, enojo, culpa, soledad, autoestima, imagen corporal, burnout, identidad, journaling, duelo, patrones emocionales.</w:t>
            </w:r>
          </w:p>
        </w:tc>
      </w:tr>
      <w:tr>
        <w:tc>
          <w:tcPr>
            <w:tcW w:type="dxa" w:w="5083"/>
            <w:shd w:fill="F2E9E2"/>
            <w:vAlign w:val="center"/>
            <w:tcBorders>
              <w:bottom w:val="single" w:sz="4" w:color="E2D4CF"/>
            </w:tcBorders>
          </w:tcPr>
          <w:p>
            <w:pPr>
              <w:spacing w:after="0"/>
            </w:pPr>
            <w:r>
              <w:rPr>
                <w:color w:val="2B2228"/>
                <w:sz w:val="17"/>
              </w:rPr>
              <w:t>Dinero &amp; Independencia</w:t>
            </w:r>
          </w:p>
        </w:tc>
        <w:tc>
          <w:tcPr>
            <w:tcW w:type="dxa" w:w="5083"/>
            <w:shd w:fill="F2E9E2"/>
            <w:vAlign w:val="center"/>
            <w:tcBorders>
              <w:bottom w:val="single" w:sz="4" w:color="E2D4CF"/>
            </w:tcBorders>
          </w:tcPr>
          <w:p>
            <w:pPr>
              <w:spacing w:after="0"/>
            </w:pPr>
            <w:r>
              <w:rPr>
                <w:color w:val="2B2228"/>
                <w:sz w:val="17"/>
              </w:rPr>
              <w:t>Ingresos, gastos, presupuesto, deudas, ahorro, metas, patrimonio, seguros, retiro, suscripciones, escenarios y Plan B.</w:t>
            </w:r>
          </w:p>
        </w:tc>
      </w:tr>
      <w:tr>
        <w:tc>
          <w:tcPr>
            <w:tcW w:type="dxa" w:w="5083"/>
            <w:shd w:fill="F7F1ED"/>
            <w:vAlign w:val="center"/>
            <w:tcBorders>
              <w:bottom w:val="single" w:sz="4" w:color="E2D4CF"/>
            </w:tcBorders>
          </w:tcPr>
          <w:p>
            <w:pPr>
              <w:spacing w:after="0"/>
            </w:pPr>
            <w:r>
              <w:rPr>
                <w:color w:val="2B2228"/>
                <w:sz w:val="17"/>
              </w:rPr>
              <w:t>Tiempo &amp; Carga Mental</w:t>
            </w:r>
          </w:p>
        </w:tc>
        <w:tc>
          <w:tcPr>
            <w:tcW w:type="dxa" w:w="5083"/>
            <w:shd w:fill="F7F1ED"/>
            <w:vAlign w:val="center"/>
            <w:tcBorders>
              <w:bottom w:val="single" w:sz="4" w:color="E2D4CF"/>
            </w:tcBorders>
          </w:tcPr>
          <w:p>
            <w:pPr>
              <w:spacing w:after="0"/>
            </w:pPr>
            <w:r>
              <w:rPr>
                <w:color w:val="2B2228"/>
                <w:sz w:val="17"/>
              </w:rPr>
              <w:t>Calendario, tareas, rutinas, capacidad, responsabilidades, delegación, automatización y Mental Load Intelligence.</w:t>
            </w:r>
          </w:p>
        </w:tc>
      </w:tr>
      <w:tr>
        <w:tc>
          <w:tcPr>
            <w:tcW w:type="dxa" w:w="5083"/>
            <w:shd w:fill="F2E9E2"/>
            <w:vAlign w:val="center"/>
            <w:tcBorders>
              <w:bottom w:val="single" w:sz="4" w:color="E2D4CF"/>
            </w:tcBorders>
          </w:tcPr>
          <w:p>
            <w:pPr>
              <w:spacing w:after="0"/>
            </w:pPr>
            <w:r>
              <w:rPr>
                <w:color w:val="2B2228"/>
                <w:sz w:val="17"/>
              </w:rPr>
              <w:t>Familia &amp; Cuidado</w:t>
            </w:r>
          </w:p>
        </w:tc>
        <w:tc>
          <w:tcPr>
            <w:tcW w:type="dxa" w:w="5083"/>
            <w:shd w:fill="F2E9E2"/>
            <w:vAlign w:val="center"/>
            <w:tcBorders>
              <w:bottom w:val="single" w:sz="4" w:color="E2D4CF"/>
            </w:tcBorders>
          </w:tcPr>
          <w:p>
            <w:pPr>
              <w:spacing w:after="0"/>
            </w:pPr>
            <w:r>
              <w:rPr>
                <w:color w:val="2B2228"/>
                <w:sz w:val="17"/>
              </w:rPr>
              <w:t>Hijos por etapa, escuela, salud, actividades, coparenting, padres, caregiving, personas dependientes y mascotas.</w:t>
            </w:r>
          </w:p>
        </w:tc>
      </w:tr>
      <w:tr>
        <w:tc>
          <w:tcPr>
            <w:tcW w:type="dxa" w:w="5083"/>
            <w:shd w:fill="F7F1ED"/>
            <w:vAlign w:val="center"/>
            <w:tcBorders>
              <w:bottom w:val="single" w:sz="4" w:color="E2D4CF"/>
            </w:tcBorders>
          </w:tcPr>
          <w:p>
            <w:pPr>
              <w:spacing w:after="0"/>
            </w:pPr>
            <w:r>
              <w:rPr>
                <w:color w:val="2B2228"/>
                <w:sz w:val="17"/>
              </w:rPr>
              <w:t>Relaciones &amp; Sexualidad</w:t>
            </w:r>
          </w:p>
        </w:tc>
        <w:tc>
          <w:tcPr>
            <w:tcW w:type="dxa" w:w="5083"/>
            <w:shd w:fill="F7F1ED"/>
            <w:vAlign w:val="center"/>
            <w:tcBorders>
              <w:bottom w:val="single" w:sz="4" w:color="E2D4CF"/>
            </w:tcBorders>
          </w:tcPr>
          <w:p>
            <w:pPr>
              <w:spacing w:after="0"/>
            </w:pPr>
            <w:r>
              <w:rPr>
                <w:color w:val="2B2228"/>
                <w:sz w:val="17"/>
              </w:rPr>
              <w:t>Pareja, comunicación, acuerdos, conflictos, intimidad, libido, dating, amistades y vida social.</w:t>
            </w:r>
          </w:p>
        </w:tc>
      </w:tr>
      <w:tr>
        <w:tc>
          <w:tcPr>
            <w:tcW w:type="dxa" w:w="5083"/>
            <w:shd w:fill="F2E9E2"/>
            <w:vAlign w:val="center"/>
            <w:tcBorders>
              <w:bottom w:val="single" w:sz="4" w:color="E2D4CF"/>
            </w:tcBorders>
          </w:tcPr>
          <w:p>
            <w:pPr>
              <w:spacing w:after="0"/>
            </w:pPr>
            <w:r>
              <w:rPr>
                <w:color w:val="2B2228"/>
                <w:sz w:val="17"/>
              </w:rPr>
              <w:t>Carrera &amp; Crecimiento</w:t>
            </w:r>
          </w:p>
        </w:tc>
        <w:tc>
          <w:tcPr>
            <w:tcW w:type="dxa" w:w="5083"/>
            <w:shd w:fill="F2E9E2"/>
            <w:vAlign w:val="center"/>
            <w:tcBorders>
              <w:bottom w:val="single" w:sz="4" w:color="E2D4CF"/>
            </w:tcBorders>
          </w:tcPr>
          <w:p>
            <w:pPr>
              <w:spacing w:after="0"/>
            </w:pPr>
            <w:r>
              <w:rPr>
                <w:color w:val="2B2228"/>
                <w:sz w:val="17"/>
              </w:rPr>
              <w:t>CV, logros, salario, negociación, empleo, aprendizaje, entrevistas, liderazgo, emprendimiento y reinvención profesional.</w:t>
            </w:r>
          </w:p>
        </w:tc>
      </w:tr>
      <w:tr>
        <w:tc>
          <w:tcPr>
            <w:tcW w:type="dxa" w:w="5083"/>
            <w:shd w:fill="F7F1ED"/>
            <w:vAlign w:val="center"/>
            <w:tcBorders>
              <w:bottom w:val="single" w:sz="4" w:color="E2D4CF"/>
            </w:tcBorders>
          </w:tcPr>
          <w:p>
            <w:pPr>
              <w:spacing w:after="0"/>
            </w:pPr>
            <w:r>
              <w:rPr>
                <w:color w:val="2B2228"/>
                <w:sz w:val="17"/>
              </w:rPr>
              <w:t>Casa &amp; Vida Administrativa</w:t>
            </w:r>
          </w:p>
        </w:tc>
        <w:tc>
          <w:tcPr>
            <w:tcW w:type="dxa" w:w="5083"/>
            <w:shd w:fill="F7F1ED"/>
            <w:vAlign w:val="center"/>
            <w:tcBorders>
              <w:bottom w:val="single" w:sz="4" w:color="E2D4CF"/>
            </w:tcBorders>
          </w:tcPr>
          <w:p>
            <w:pPr>
              <w:spacing w:after="0"/>
            </w:pPr>
            <w:r>
              <w:rPr>
                <w:color w:val="2B2228"/>
                <w:sz w:val="17"/>
              </w:rPr>
              <w:t>Servicios, mantenimiento, proveedores, garantías, compras, despensa, inventario, documentos y vencimientos.</w:t>
            </w:r>
          </w:p>
        </w:tc>
      </w:tr>
      <w:tr>
        <w:tc>
          <w:tcPr>
            <w:tcW w:type="dxa" w:w="5083"/>
            <w:shd w:fill="F2E9E2"/>
            <w:vAlign w:val="center"/>
            <w:tcBorders>
              <w:bottom w:val="single" w:sz="4" w:color="E2D4CF"/>
            </w:tcBorders>
          </w:tcPr>
          <w:p>
            <w:pPr>
              <w:spacing w:after="0"/>
            </w:pPr>
            <w:r>
              <w:rPr>
                <w:color w:val="2B2228"/>
                <w:sz w:val="17"/>
              </w:rPr>
              <w:t>Estilo &amp; Cuidado Personal</w:t>
            </w:r>
          </w:p>
        </w:tc>
        <w:tc>
          <w:tcPr>
            <w:tcW w:type="dxa" w:w="5083"/>
            <w:shd w:fill="F2E9E2"/>
            <w:vAlign w:val="center"/>
            <w:tcBorders>
              <w:bottom w:val="single" w:sz="4" w:color="E2D4CF"/>
            </w:tcBorders>
          </w:tcPr>
          <w:p>
            <w:pPr>
              <w:spacing w:after="0"/>
            </w:pPr>
            <w:r>
              <w:rPr>
                <w:color w:val="2B2228"/>
                <w:sz w:val="17"/>
              </w:rPr>
              <w:t>Belleza, piel, cabello, productos, guardarropa, outfits, compras, packing e imagen ante cambios corporales.</w:t>
            </w:r>
          </w:p>
        </w:tc>
      </w:tr>
      <w:tr>
        <w:tc>
          <w:tcPr>
            <w:tcW w:type="dxa" w:w="5083"/>
            <w:shd w:fill="F7F1ED"/>
            <w:vAlign w:val="center"/>
            <w:tcBorders>
              <w:bottom w:val="single" w:sz="4" w:color="E2D4CF"/>
            </w:tcBorders>
          </w:tcPr>
          <w:p>
            <w:pPr>
              <w:spacing w:after="0"/>
            </w:pPr>
            <w:r>
              <w:rPr>
                <w:color w:val="2B2228"/>
                <w:sz w:val="17"/>
              </w:rPr>
              <w:t>Seguridad &amp; Viajes</w:t>
            </w:r>
          </w:p>
        </w:tc>
        <w:tc>
          <w:tcPr>
            <w:tcW w:type="dxa" w:w="5083"/>
            <w:shd w:fill="F7F1ED"/>
            <w:vAlign w:val="center"/>
            <w:tcBorders>
              <w:bottom w:val="single" w:sz="4" w:color="E2D4CF"/>
            </w:tcBorders>
          </w:tcPr>
          <w:p>
            <w:pPr>
              <w:spacing w:after="0"/>
            </w:pPr>
            <w:r>
              <w:rPr>
                <w:color w:val="2B2228"/>
                <w:sz w:val="17"/>
              </w:rPr>
              <w:t>Modo cita, regreso, viaje sola, check-ins, contactos confiables, documentos y preparación.</w:t>
            </w:r>
          </w:p>
        </w:tc>
      </w:tr>
      <w:tr>
        <w:tc>
          <w:tcPr>
            <w:tcW w:type="dxa" w:w="5083"/>
            <w:shd w:fill="F2E9E2"/>
            <w:vAlign w:val="center"/>
            <w:tcBorders>
              <w:bottom w:val="single" w:sz="4" w:color="E2D4CF"/>
            </w:tcBorders>
          </w:tcPr>
          <w:p>
            <w:pPr>
              <w:spacing w:after="0"/>
            </w:pPr>
            <w:r>
              <w:rPr>
                <w:color w:val="2B2228"/>
                <w:sz w:val="17"/>
              </w:rPr>
              <w:t>Metas &amp; Proyectos</w:t>
            </w:r>
          </w:p>
        </w:tc>
        <w:tc>
          <w:tcPr>
            <w:tcW w:type="dxa" w:w="5083"/>
            <w:shd w:fill="F2E9E2"/>
            <w:vAlign w:val="center"/>
            <w:tcBorders>
              <w:bottom w:val="single" w:sz="4" w:color="E2D4CF"/>
            </w:tcBorders>
          </w:tcPr>
          <w:p>
            <w:pPr>
              <w:spacing w:after="0"/>
            </w:pPr>
            <w:r>
              <w:rPr>
                <w:color w:val="2B2228"/>
                <w:sz w:val="17"/>
              </w:rPr>
              <w:t>Deseo → viabilidad → plan → dinero → calendario → acciones → seguimiento.</w:t>
            </w:r>
          </w:p>
        </w:tc>
      </w:tr>
      <w:tr>
        <w:tc>
          <w:tcPr>
            <w:tcW w:type="dxa" w:w="5083"/>
            <w:shd w:fill="F7F1ED"/>
            <w:vAlign w:val="center"/>
            <w:tcBorders>
              <w:bottom w:val="single" w:sz="4" w:color="E2D4CF"/>
            </w:tcBorders>
          </w:tcPr>
          <w:p>
            <w:pPr>
              <w:spacing w:after="0"/>
            </w:pPr>
            <w:r>
              <w:rPr>
                <w:color w:val="2B2228"/>
                <w:sz w:val="17"/>
              </w:rPr>
              <w:t>Executive Layer</w:t>
            </w:r>
          </w:p>
        </w:tc>
        <w:tc>
          <w:tcPr>
            <w:tcW w:type="dxa" w:w="5083"/>
            <w:shd w:fill="F7F1ED"/>
            <w:vAlign w:val="center"/>
            <w:tcBorders>
              <w:bottom w:val="single" w:sz="4" w:color="E2D4CF"/>
            </w:tcBorders>
          </w:tcPr>
          <w:p>
            <w:pPr>
              <w:spacing w:after="0"/>
            </w:pPr>
            <w:r>
              <w:rPr>
                <w:color w:val="2B2228"/>
                <w:sz w:val="17"/>
              </w:rPr>
              <w:t>Mail, calendar, tasks, contacts, documents, follow-ups, summaries, @bemara.me y LENA Executive.</w:t>
            </w:r>
          </w:p>
        </w:tc>
      </w:tr>
      <w:tr>
        <w:tc>
          <w:tcPr>
            <w:tcW w:type="dxa" w:w="5083"/>
            <w:shd w:fill="F2E9E2"/>
            <w:vAlign w:val="center"/>
            <w:tcBorders>
              <w:bottom w:val="single" w:sz="4" w:color="E2D4CF"/>
            </w:tcBorders>
          </w:tcPr>
          <w:p>
            <w:pPr>
              <w:spacing w:after="0"/>
            </w:pPr>
            <w:r>
              <w:rPr>
                <w:color w:val="2B2228"/>
                <w:sz w:val="17"/>
              </w:rPr>
              <w:t>Community (futuro)</w:t>
            </w:r>
          </w:p>
        </w:tc>
        <w:tc>
          <w:tcPr>
            <w:tcW w:type="dxa" w:w="5083"/>
            <w:shd w:fill="F2E9E2"/>
            <w:vAlign w:val="center"/>
            <w:tcBorders>
              <w:bottom w:val="single" w:sz="4" w:color="E2D4CF"/>
            </w:tcBorders>
          </w:tcPr>
          <w:p>
            <w:pPr>
              <w:spacing w:after="0"/>
            </w:pPr>
            <w:r>
              <w:rPr>
                <w:color w:val="2B2228"/>
                <w:sz w:val="17"/>
              </w:rPr>
              <w:t>Matching contextual, tribus, actividades IRL; feature flag apagada en lanzamiento.</w:t>
            </w:r>
          </w:p>
        </w:tc>
      </w:tr>
    </w:tbl>
    <w:p>
      <w:pPr>
        <w:spacing w:after="40"/>
      </w:pPr>
    </w:p>
    <w:p>
      <w:pPr>
        <w:pStyle w:val="Heading1"/>
      </w:pPr>
      <w:r>
        <w:t>9. Especificación por dominio</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Cada dominio debe aportar valor real por sí mismo y, al mismo tiempo, alimentar el contexto transversal de BEMARA. No se construirán versiones “de muestra” con cards vacías. Cada dominio que entre a producción debe contar con al menos un flujo end-to-end útil, una integración con LENA y una conexión transversal.</w:t>
      </w:r>
    </w:p>
    <w:p>
      <w:pPr>
        <w:pStyle w:val="Heading2"/>
      </w:pPr>
      <w:r>
        <w:t>9.1 Claridad / Orquestación</w:t>
      </w:r>
    </w:p>
    <w:p>
      <w:pPr>
        <w:keepLines w:val="0"/>
      </w:pPr>
      <w:r>
        <w:t>Es la capa que convierte la complejidad en prioridad. No es una “pantalla de KPIs”. Resume qué merece atención y qué puede resolver BEMARA.</w:t>
      </w:r>
    </w:p>
    <w:p>
      <w:pPr>
        <w:pStyle w:val="ListBullet"/>
        <w:spacing w:after="50"/>
        <w:ind w:left="317" w:hanging="173"/>
      </w:pPr>
      <w:r>
        <w:rPr>
          <w:color w:val="2B2228"/>
          <w:sz w:val="18"/>
        </w:rPr>
        <w:t>Morning Brief y Weekly Outlook opcionales, personalizados y no obligatorios.</w:t>
      </w:r>
    </w:p>
    <w:p>
      <w:pPr>
        <w:pStyle w:val="ListBullet"/>
        <w:spacing w:after="50"/>
        <w:ind w:left="317" w:hanging="173"/>
      </w:pPr>
      <w:r>
        <w:rPr>
          <w:color w:val="2B2228"/>
          <w:sz w:val="18"/>
        </w:rPr>
        <w:t>“Hoy importa”: máximo de señales prioritarias, no una lista infinita.</w:t>
      </w:r>
    </w:p>
    <w:p>
      <w:pPr>
        <w:pStyle w:val="ListBullet"/>
        <w:spacing w:after="50"/>
        <w:ind w:left="317" w:hanging="173"/>
      </w:pPr>
      <w:r>
        <w:rPr>
          <w:color w:val="2B2228"/>
          <w:sz w:val="18"/>
        </w:rPr>
        <w:t>Resumen de pendientes, capacidad, pagos, compromisos, bienestar y seguimientos.</w:t>
      </w:r>
    </w:p>
    <w:p>
      <w:pPr>
        <w:pStyle w:val="ListBullet"/>
        <w:spacing w:after="50"/>
        <w:ind w:left="317" w:hanging="173"/>
      </w:pPr>
      <w:r>
        <w:rPr>
          <w:color w:val="2B2228"/>
          <w:sz w:val="18"/>
        </w:rPr>
        <w:t>LENA puede decir: “Tienes cinco cosas que requieren atención; dos puedo resolverlas yo”.</w:t>
      </w:r>
    </w:p>
    <w:p>
      <w:pPr>
        <w:pStyle w:val="ListBullet"/>
        <w:spacing w:after="50"/>
        <w:ind w:left="317" w:hanging="173"/>
      </w:pPr>
      <w:r>
        <w:rPr>
          <w:color w:val="2B2228"/>
          <w:sz w:val="18"/>
        </w:rPr>
        <w:t>Cierre del día opcional: qué quedó abierto y qué puede esperar.</w:t>
      </w:r>
    </w:p>
    <w:p>
      <w:pPr>
        <w:pStyle w:val="ListBullet"/>
        <w:spacing w:after="50"/>
        <w:ind w:left="317" w:hanging="173"/>
      </w:pPr>
      <w:r>
        <w:rPr>
          <w:color w:val="2B2228"/>
          <w:sz w:val="18"/>
        </w:rPr>
        <w:t>La prioridad se calcula con urgencia, impacto, contexto, preferencia y saturación.</w:t>
      </w:r>
    </w:p>
    <w:p>
      <w:pPr>
        <w:pStyle w:val="Heading2"/>
      </w:pPr>
      <w:r>
        <w:t>9.2 Cuerpo &amp; Salud</w:t>
      </w: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Ejemplo de insight correcto: “Cuatro de los últimos cinco episodios que registraste coincidieron con menos sueño. No puedo determinar la causa; si quieres, preparo este patrón para tu próxima consulta.”</w:t>
            </w:r>
          </w:p>
        </w:tc>
      </w:tr>
    </w:tbl>
    <w:p>
      <w:pPr>
        <w:spacing w:after="20"/>
      </w:pPr>
    </w:p>
    <w:p>
      <w:pPr>
        <w:keepLines w:val="0"/>
      </w:pPr>
      <w:r>
        <w:t>El centro es el cuerpo completo, no el ciclo. El sistema sólo presenta subdominios corporales pertinentes a la realidad declarada de la usuaria.</w:t>
      </w:r>
    </w:p>
    <w:p>
      <w:pPr>
        <w:pStyle w:val="ListBullet"/>
        <w:spacing w:after="50"/>
        <w:ind w:left="317" w:hanging="173"/>
      </w:pPr>
      <w:r>
        <w:rPr>
          <w:color w:val="2B2228"/>
          <w:sz w:val="18"/>
        </w:rPr>
        <w:t>Tracking flexible de sueño, energía, dolor, migraña, digestión, piel, cabello, libido, peso/composición si desea, fuerza, movimiento, síntomas libres y medicación/estudios registrados.</w:t>
      </w:r>
    </w:p>
    <w:p>
      <w:pPr>
        <w:pStyle w:val="ListBullet"/>
        <w:spacing w:after="50"/>
        <w:ind w:left="317" w:hanging="173"/>
      </w:pPr>
      <w:r>
        <w:rPr>
          <w:color w:val="2B2228"/>
          <w:sz w:val="18"/>
        </w:rPr>
        <w:t>Salud femenina: ciclo, anticoncepción, fertilidad, embarazo, postpartum, lactancia, perimenopausia, menopausia y postmenopausia cuando correspondan.</w:t>
      </w:r>
    </w:p>
    <w:p>
      <w:pPr>
        <w:pStyle w:val="ListBullet"/>
        <w:spacing w:after="50"/>
        <w:ind w:left="317" w:hanging="173"/>
      </w:pPr>
      <w:r>
        <w:rPr>
          <w:color w:val="2B2228"/>
          <w:sz w:val="18"/>
        </w:rPr>
        <w:t>Wearables y fuentes externas siempre identifican origen del dato.</w:t>
      </w:r>
    </w:p>
    <w:p>
      <w:pPr>
        <w:pStyle w:val="ListBullet"/>
        <w:spacing w:after="50"/>
        <w:ind w:left="317" w:hanging="173"/>
      </w:pPr>
      <w:r>
        <w:rPr>
          <w:color w:val="2B2228"/>
          <w:sz w:val="18"/>
        </w:rPr>
        <w:t>LENA busca patrones longitudinales y usa lenguaje de asociación: “coincidió con”, nunca causalidad automática.</w:t>
      </w:r>
    </w:p>
    <w:p>
      <w:pPr>
        <w:pStyle w:val="ListBullet"/>
        <w:spacing w:after="50"/>
        <w:ind w:left="317" w:hanging="173"/>
      </w:pPr>
      <w:r>
        <w:rPr>
          <w:color w:val="2B2228"/>
          <w:sz w:val="18"/>
        </w:rPr>
        <w:t>Health Passport: resumen configurable para llevar a consulta, generado por la usuaria, no diagnóstico.</w:t>
      </w:r>
    </w:p>
    <w:p>
      <w:pPr>
        <w:pStyle w:val="ListBullet"/>
        <w:spacing w:after="50"/>
        <w:ind w:left="317" w:hanging="173"/>
      </w:pPr>
      <w:r>
        <w:rPr>
          <w:color w:val="2B2228"/>
          <w:sz w:val="18"/>
        </w:rPr>
        <w:t>Recordatorios de estudios, medicamentos registrados y citas, siempre con controles y consentimiento.</w:t>
      </w:r>
    </w:p>
    <w:p>
      <w:pPr>
        <w:pStyle w:val="ListBullet"/>
        <w:spacing w:after="50"/>
        <w:ind w:left="317" w:hanging="173"/>
      </w:pPr>
      <w:r>
        <w:rPr>
          <w:color w:val="2B2228"/>
          <w:sz w:val="18"/>
        </w:rPr>
        <w:t>No prescribir, no diagnosticar, no declarar una enfermedad, no sustituir profesionales.</w:t>
      </w:r>
    </w:p>
    <w:p>
      <w:pPr>
        <w:pStyle w:val="Heading2"/>
      </w:pPr>
      <w:r>
        <w:t>9.3 Mente &amp; Emociones</w:t>
      </w:r>
    </w:p>
    <w:p>
      <w:pPr>
        <w:keepLines w:val="0"/>
      </w:pPr>
      <w:r>
        <w:t>BEMARA debe reconocer que tristeza, duelo, cansancio, irritabilidad o soledad no son automáticamente patologías. LENA observa, escucha, organiza y deriva cuando corresponde.</w:t>
      </w:r>
    </w:p>
    <w:p>
      <w:pPr>
        <w:pStyle w:val="ListBullet"/>
        <w:spacing w:after="50"/>
        <w:ind w:left="317" w:hanging="173"/>
      </w:pPr>
      <w:r>
        <w:rPr>
          <w:color w:val="2B2228"/>
          <w:sz w:val="18"/>
        </w:rPr>
        <w:t>Registro por conversación, voz, journaling y check-ins mínimos; no depender de emojis o scores infantiles.</w:t>
      </w:r>
    </w:p>
    <w:p>
      <w:pPr>
        <w:pStyle w:val="ListBullet"/>
        <w:spacing w:after="50"/>
        <w:ind w:left="317" w:hanging="173"/>
      </w:pPr>
      <w:r>
        <w:rPr>
          <w:color w:val="2B2228"/>
          <w:sz w:val="18"/>
        </w:rPr>
        <w:t>Modos explícitos: Escúchame / Ayúdame a entenderlo / Dame perspectiva / Necesito decidir / Ayúdame a actuar / No guardes esto.</w:t>
      </w:r>
    </w:p>
    <w:p>
      <w:pPr>
        <w:pStyle w:val="ListBullet"/>
        <w:spacing w:after="50"/>
        <w:ind w:left="317" w:hanging="173"/>
      </w:pPr>
      <w:r>
        <w:rPr>
          <w:color w:val="2B2228"/>
          <w:sz w:val="18"/>
        </w:rPr>
        <w:t>Patrones: sueño + carga + relaciones + trabajo + cuerpo + actividad, con explicaciones transparentes.</w:t>
      </w:r>
    </w:p>
    <w:p>
      <w:pPr>
        <w:pStyle w:val="ListBullet"/>
        <w:spacing w:after="50"/>
        <w:ind w:left="317" w:hanging="173"/>
      </w:pPr>
      <w:r>
        <w:rPr>
          <w:color w:val="2B2228"/>
          <w:sz w:val="18"/>
        </w:rPr>
        <w:t>Conversational invitation: “¿Platicamos? Hay algo de estas últimas semanas que me gustaría revisar contigo.”</w:t>
      </w:r>
    </w:p>
    <w:p>
      <w:pPr>
        <w:pStyle w:val="ListBullet"/>
        <w:spacing w:after="50"/>
        <w:ind w:left="317" w:hanging="173"/>
      </w:pPr>
      <w:r>
        <w:rPr>
          <w:color w:val="2B2228"/>
          <w:sz w:val="18"/>
        </w:rPr>
        <w:t>Cuando un cambio sostenido merece atención, describir señales sin diagnosticar y recomendar apoyo profesional de forma clara y no alarmista.</w:t>
      </w:r>
    </w:p>
    <w:p>
      <w:pPr>
        <w:pStyle w:val="ListBullet"/>
        <w:spacing w:after="50"/>
        <w:ind w:left="317" w:hanging="173"/>
      </w:pPr>
      <w:r>
        <w:rPr>
          <w:color w:val="2B2228"/>
          <w:sz w:val="18"/>
        </w:rPr>
        <w:t>Safety escalation separada para crisis o señales de riesgo serio.</w:t>
      </w:r>
    </w:p>
    <w:p>
      <w:pPr>
        <w:pStyle w:val="Heading2"/>
      </w:pPr>
      <w:r>
        <w:t>9.4 Dinero &amp; Independencia</w:t>
      </w:r>
    </w:p>
    <w:p>
      <w:pPr>
        <w:keepLines w:val="0"/>
      </w:pPr>
      <w:r>
        <w:t>BEMARA funciona como CFO personal orientado a claridad y autonomía, no como banco, intermediario, asesor de inversión o prestamista.</w:t>
      </w:r>
    </w:p>
    <w:p>
      <w:pPr>
        <w:pStyle w:val="ListBullet"/>
        <w:spacing w:after="50"/>
        <w:ind w:left="317" w:hanging="173"/>
      </w:pPr>
      <w:r>
        <w:rPr>
          <w:color w:val="2B2228"/>
          <w:sz w:val="18"/>
        </w:rPr>
        <w:t>Ingresos, gastos, categorías, presupuestos flexibles, deudas, tarjetas, suscripciones, ahorro, metas, patrimonio, seguros y retiro.</w:t>
      </w:r>
    </w:p>
    <w:p>
      <w:pPr>
        <w:pStyle w:val="ListBullet"/>
        <w:spacing w:after="50"/>
        <w:ind w:left="317" w:hanging="173"/>
      </w:pPr>
      <w:r>
        <w:rPr>
          <w:color w:val="2B2228"/>
          <w:sz w:val="18"/>
        </w:rPr>
        <w:t>Captura manual, por foto/recibo, CSV y reglas; conexión bancaria se incorpora después mediante adaptador.</w:t>
      </w:r>
    </w:p>
    <w:p>
      <w:pPr>
        <w:pStyle w:val="ListBullet"/>
        <w:spacing w:after="50"/>
        <w:ind w:left="317" w:hanging="173"/>
      </w:pPr>
      <w:r>
        <w:rPr>
          <w:color w:val="2B2228"/>
          <w:sz w:val="18"/>
        </w:rPr>
        <w:t>Escenarios: “¿Puedo dejar este trabajo?”, “¿Puedo vivir sola?”, “¿Qué pasa si tengo un bebé?”, “¿Cuánto puedo gastar en este viaje?”.</w:t>
      </w:r>
    </w:p>
    <w:p>
      <w:pPr>
        <w:pStyle w:val="ListBullet"/>
        <w:spacing w:after="50"/>
        <w:ind w:left="317" w:hanging="173"/>
      </w:pPr>
      <w:r>
        <w:rPr>
          <w:color w:val="2B2228"/>
          <w:sz w:val="18"/>
        </w:rPr>
        <w:t>Plan B / Independence: meses de autonomía, liquidez, gastos indispensables y escenarios de separación, desempleo, viudez o cuidado familiar.</w:t>
      </w:r>
    </w:p>
    <w:p>
      <w:pPr>
        <w:pStyle w:val="ListBullet"/>
        <w:spacing w:after="50"/>
        <w:ind w:left="317" w:hanging="173"/>
      </w:pPr>
      <w:r>
        <w:rPr>
          <w:color w:val="2B2228"/>
          <w:sz w:val="18"/>
        </w:rPr>
        <w:t>Forecast de flujo y alertas de desvío con explicación.</w:t>
      </w:r>
    </w:p>
    <w:p>
      <w:pPr>
        <w:pStyle w:val="ListBullet"/>
        <w:spacing w:after="50"/>
        <w:ind w:left="317" w:hanging="173"/>
      </w:pPr>
      <w:r>
        <w:rPr>
          <w:color w:val="2B2228"/>
          <w:sz w:val="18"/>
        </w:rPr>
        <w:t>No ejecutar inversiones ni transferencias en lanzamiento; no dar recomendaciones financieras reguladas.</w:t>
      </w:r>
    </w:p>
    <w:p>
      <w:pPr>
        <w:pStyle w:val="Heading2"/>
      </w:pPr>
      <w:r>
        <w:t>9.5 Tiempo &amp; Mental Load Intelligence</w:t>
      </w:r>
    </w:p>
    <w:p>
      <w:pPr>
        <w:keepLines w:val="0"/>
      </w:pPr>
      <w:r>
        <w:t>Este dominio modela no sólo tareas, sino responsabilidades, seguimiento, decisiones y carga invisible. La pregunta de producto es: “¿Qué te puedo quitar de encima?”</w:t>
      </w:r>
    </w:p>
    <w:p>
      <w:pPr>
        <w:pStyle w:val="ListBullet"/>
        <w:spacing w:after="50"/>
        <w:ind w:left="317" w:hanging="173"/>
      </w:pPr>
      <w:r>
        <w:rPr>
          <w:color w:val="2B2228"/>
          <w:sz w:val="18"/>
        </w:rPr>
        <w:t>Calendarios personal, trabajo, familia y cuidado; vista unificada por permisos.</w:t>
      </w:r>
    </w:p>
    <w:p>
      <w:pPr>
        <w:pStyle w:val="ListBullet"/>
        <w:spacing w:after="50"/>
        <w:ind w:left="317" w:hanging="173"/>
      </w:pPr>
      <w:r>
        <w:rPr>
          <w:color w:val="2B2228"/>
          <w:sz w:val="18"/>
        </w:rPr>
        <w:t>Tasks con responsable, contexto, dependencia, fecha, esfuerzo y origen.</w:t>
      </w:r>
    </w:p>
    <w:p>
      <w:pPr>
        <w:pStyle w:val="ListBullet"/>
        <w:spacing w:after="50"/>
        <w:ind w:left="317" w:hanging="173"/>
      </w:pPr>
      <w:r>
        <w:rPr>
          <w:color w:val="2B2228"/>
          <w:sz w:val="18"/>
        </w:rPr>
        <w:t>Capacity Intelligence: no llenar todos los huecos libres; estimar carga humana real.</w:t>
      </w:r>
    </w:p>
    <w:p>
      <w:pPr>
        <w:pStyle w:val="ListBullet"/>
        <w:spacing w:after="50"/>
        <w:ind w:left="317" w:hanging="173"/>
      </w:pPr>
      <w:r>
        <w:rPr>
          <w:color w:val="2B2228"/>
          <w:sz w:val="18"/>
        </w:rPr>
        <w:t>Responsibility graph: qué sostiene ella, para quién y qué podría delegarse.</w:t>
      </w:r>
    </w:p>
    <w:p>
      <w:pPr>
        <w:pStyle w:val="ListBullet"/>
        <w:spacing w:after="50"/>
        <w:ind w:left="317" w:hanging="173"/>
      </w:pPr>
      <w:r>
        <w:rPr>
          <w:color w:val="2B2228"/>
          <w:sz w:val="18"/>
        </w:rPr>
        <w:t>Extraer tareas/eventos de emails, PDFs, fotos, avisos escolares y documentos.</w:t>
      </w:r>
    </w:p>
    <w:p>
      <w:pPr>
        <w:pStyle w:val="ListBullet"/>
        <w:spacing w:after="50"/>
        <w:ind w:left="317" w:hanging="173"/>
      </w:pPr>
      <w:r>
        <w:rPr>
          <w:color w:val="2B2228"/>
          <w:sz w:val="18"/>
        </w:rPr>
        <w:t>Delegar, reprogramar, agrupar, recordar a responsables y automatizar dentro de reglas autorizadas.</w:t>
      </w:r>
    </w:p>
    <w:p>
      <w:pPr>
        <w:pStyle w:val="ListBullet"/>
        <w:spacing w:after="50"/>
        <w:ind w:left="317" w:hanging="173"/>
      </w:pPr>
      <w:r>
        <w:rPr>
          <w:color w:val="2B2228"/>
          <w:sz w:val="18"/>
        </w:rPr>
        <w:t>Mental Load Forecast para semanas futuras.</w:t>
      </w:r>
    </w:p>
    <w:p>
      <w:pPr>
        <w:pStyle w:val="Heading2"/>
      </w:pPr>
      <w:r>
        <w:t>9.6 Familia &amp; Caregiving</w:t>
      </w:r>
    </w:p>
    <w:p>
      <w:pPr>
        <w:keepLines w:val="0"/>
      </w:pPr>
      <w:r>
        <w:t>Parte desde ella y su relación con las personas, no desde una app de bebé o un family organizer genérico.</w:t>
      </w:r>
    </w:p>
    <w:p>
      <w:pPr>
        <w:pStyle w:val="ListBullet"/>
        <w:spacing w:after="50"/>
        <w:ind w:left="317" w:hanging="173"/>
      </w:pPr>
      <w:r>
        <w:rPr>
          <w:color w:val="2B2228"/>
          <w:sz w:val="18"/>
        </w:rPr>
        <w:t>Hijos: escuela, salud, actividades, permisos, documentos, pagos y eventos, adaptado a edad.</w:t>
      </w:r>
    </w:p>
    <w:p>
      <w:pPr>
        <w:pStyle w:val="ListBullet"/>
        <w:spacing w:after="50"/>
        <w:ind w:left="317" w:hanging="173"/>
      </w:pPr>
      <w:r>
        <w:rPr>
          <w:color w:val="2B2228"/>
          <w:sz w:val="18"/>
        </w:rPr>
        <w:t>Coparenting y familia ensamblada cuando aplique.</w:t>
      </w:r>
    </w:p>
    <w:p>
      <w:pPr>
        <w:pStyle w:val="ListBullet"/>
        <w:spacing w:after="50"/>
        <w:ind w:left="317" w:hanging="173"/>
      </w:pPr>
      <w:r>
        <w:rPr>
          <w:color w:val="2B2228"/>
          <w:sz w:val="18"/>
        </w:rPr>
        <w:t>Caregiving de padres/personas mayores: citas, medicamentos registrados, estudios, documentos, hermanos responsables, gastos y transportes.</w:t>
      </w:r>
    </w:p>
    <w:p>
      <w:pPr>
        <w:pStyle w:val="ListBullet"/>
        <w:spacing w:after="50"/>
        <w:ind w:left="317" w:hanging="173"/>
      </w:pPr>
      <w:r>
        <w:rPr>
          <w:color w:val="2B2228"/>
          <w:sz w:val="18"/>
        </w:rPr>
        <w:t>Medir el efecto del cuidado sobre la propia mujer: tiempo, dinero, descanso y carga.</w:t>
      </w:r>
    </w:p>
    <w:p>
      <w:pPr>
        <w:pStyle w:val="ListBullet"/>
        <w:spacing w:after="50"/>
        <w:ind w:left="317" w:hanging="173"/>
      </w:pPr>
      <w:r>
        <w:rPr>
          <w:color w:val="2B2228"/>
          <w:sz w:val="18"/>
        </w:rPr>
        <w:t>Mascotas: salud, documentos, gastos y responsabilidades cuando sean parte relevante de su vida.</w:t>
      </w:r>
    </w:p>
    <w:p>
      <w:pPr>
        <w:pStyle w:val="ListBullet"/>
        <w:spacing w:after="50"/>
        <w:ind w:left="317" w:hanging="173"/>
      </w:pPr>
      <w:r>
        <w:rPr>
          <w:color w:val="2B2228"/>
          <w:sz w:val="18"/>
        </w:rPr>
        <w:t>La persona relacionada es entidad del Life Graph, no texto suelto.</w:t>
      </w:r>
    </w:p>
    <w:p>
      <w:pPr>
        <w:pStyle w:val="Heading2"/>
      </w:pPr>
      <w:r>
        <w:t>9.7 Relaciones, Dating, Amistades &amp; Sexualidad</w:t>
      </w:r>
    </w:p>
    <w:p>
      <w:pPr>
        <w:keepLines w:val="0"/>
      </w:pPr>
      <w:r>
        <w:t>BEMARA ayuda a la usuaria a comprender sus propios patrones y necesidades. No etiqueta ni diagnostica a terceros.</w:t>
      </w:r>
    </w:p>
    <w:p>
      <w:pPr>
        <w:pStyle w:val="ListBullet"/>
        <w:spacing w:after="50"/>
        <w:ind w:left="317" w:hanging="173"/>
      </w:pPr>
      <w:r>
        <w:rPr>
          <w:color w:val="2B2228"/>
          <w:sz w:val="18"/>
        </w:rPr>
        <w:t>Pareja: temas recurrentes, acuerdos, comunicación, límites, distribución de responsabilidades, decisiones e intimidad.</w:t>
      </w:r>
    </w:p>
    <w:p>
      <w:pPr>
        <w:pStyle w:val="ListBullet"/>
        <w:spacing w:after="50"/>
        <w:ind w:left="317" w:hanging="173"/>
      </w:pPr>
      <w:r>
        <w:rPr>
          <w:color w:val="2B2228"/>
          <w:sz w:val="18"/>
        </w:rPr>
        <w:t>Dating: criterios declarados, límites, seguridad, reflexión posterior a citas y coherencia con lo que ella dice buscar.</w:t>
      </w:r>
    </w:p>
    <w:p>
      <w:pPr>
        <w:pStyle w:val="ListBullet"/>
        <w:spacing w:after="50"/>
        <w:ind w:left="317" w:hanging="173"/>
      </w:pPr>
      <w:r>
        <w:rPr>
          <w:color w:val="2B2228"/>
          <w:sz w:val="18"/>
        </w:rPr>
        <w:t>Amistades/vida social: seguimiento de conexiones importantes y, con Community, matching contextual e IRL.</w:t>
      </w:r>
    </w:p>
    <w:p>
      <w:pPr>
        <w:pStyle w:val="ListBullet"/>
        <w:spacing w:after="50"/>
        <w:ind w:left="317" w:hanging="173"/>
      </w:pPr>
      <w:r>
        <w:rPr>
          <w:color w:val="2B2228"/>
          <w:sz w:val="18"/>
        </w:rPr>
        <w:t>Sexualidad: libido, satisfacción, dolor, intimidad, sueño, estrés, medicación registrada, cambios corporales y relación.</w:t>
      </w:r>
    </w:p>
    <w:p>
      <w:pPr>
        <w:pStyle w:val="ListBullet"/>
        <w:spacing w:after="50"/>
        <w:ind w:left="317" w:hanging="173"/>
      </w:pPr>
      <w:r>
        <w:rPr>
          <w:color w:val="2B2228"/>
          <w:sz w:val="18"/>
        </w:rPr>
        <w:t>LENA puede preparar conversaciones; nunca concluir “es narcisista”, “déjalo” o hacer diagnósticos de personalidad de terceros.</w:t>
      </w:r>
    </w:p>
    <w:p>
      <w:pPr>
        <w:pStyle w:val="Heading2"/>
      </w:pPr>
      <w:r>
        <w:t>9.8 Carrera, Aprendizaje &amp; Emprendimiento</w:t>
      </w:r>
    </w:p>
    <w:p>
      <w:pPr>
        <w:keepLines w:val="0"/>
      </w:pPr>
      <w:r>
        <w:t>La carrera se conecta con dinero, tiempo, familia, salud y metas; BEMARA conserva historial de logros y decisiones.</w:t>
      </w:r>
    </w:p>
    <w:p>
      <w:pPr>
        <w:pStyle w:val="ListBullet"/>
        <w:spacing w:after="50"/>
        <w:ind w:left="317" w:hanging="173"/>
      </w:pPr>
      <w:r>
        <w:rPr>
          <w:color w:val="2B2228"/>
          <w:sz w:val="18"/>
        </w:rPr>
        <w:t>CV, logros, proyectos, evaluaciones, salario, entrevistas, negociación, ofertas y objetivos.</w:t>
      </w:r>
    </w:p>
    <w:p>
      <w:pPr>
        <w:pStyle w:val="ListBullet"/>
        <w:spacing w:after="50"/>
        <w:ind w:left="317" w:hanging="173"/>
      </w:pPr>
      <w:r>
        <w:rPr>
          <w:color w:val="2B2228"/>
          <w:sz w:val="18"/>
        </w:rPr>
        <w:t>Comparar ofertas usando compensación, traslado, flexibilidad, cuidado, tiempo y metas personales.</w:t>
      </w:r>
    </w:p>
    <w:p>
      <w:pPr>
        <w:pStyle w:val="ListBullet"/>
        <w:spacing w:after="50"/>
        <w:ind w:left="317" w:hanging="173"/>
      </w:pPr>
      <w:r>
        <w:rPr>
          <w:color w:val="2B2228"/>
          <w:sz w:val="18"/>
        </w:rPr>
        <w:t>Regreso laboral tras maternidad u otras pausas.</w:t>
      </w:r>
    </w:p>
    <w:p>
      <w:pPr>
        <w:pStyle w:val="ListBullet"/>
        <w:spacing w:after="50"/>
        <w:ind w:left="317" w:hanging="173"/>
      </w:pPr>
      <w:r>
        <w:rPr>
          <w:color w:val="2B2228"/>
          <w:sz w:val="18"/>
        </w:rPr>
        <w:t>Emprendimiento: perspectiva personal de la dueña, sin convertirse en ERP/CRM empresarial.</w:t>
      </w:r>
    </w:p>
    <w:p>
      <w:pPr>
        <w:pStyle w:val="ListBullet"/>
        <w:spacing w:after="50"/>
        <w:ind w:left="317" w:hanging="173"/>
      </w:pPr>
      <w:r>
        <w:rPr>
          <w:color w:val="2B2228"/>
          <w:sz w:val="18"/>
        </w:rPr>
        <w:t>Bilingual Mode: práctica de inglés sobre situaciones reales (entrevistas, correos, reuniones) con LENA.</w:t>
      </w:r>
    </w:p>
    <w:p>
      <w:pPr>
        <w:pStyle w:val="ListBullet"/>
        <w:spacing w:after="50"/>
        <w:ind w:left="317" w:hanging="173"/>
      </w:pPr>
      <w:r>
        <w:rPr>
          <w:color w:val="2B2228"/>
          <w:sz w:val="18"/>
        </w:rPr>
        <w:t>Reinvención profesional después de transiciones vitales.</w:t>
      </w:r>
    </w:p>
    <w:p>
      <w:pPr>
        <w:pStyle w:val="Heading2"/>
      </w:pPr>
      <w:r>
        <w:t>9.9 Casa &amp; Vida Administrativa</w:t>
      </w:r>
    </w:p>
    <w:p>
      <w:pPr>
        <w:keepLines w:val="0"/>
      </w:pPr>
      <w:r>
        <w:t>El objetivo es reducir administración doméstica, no crear un ERP del hogar.</w:t>
      </w:r>
    </w:p>
    <w:p>
      <w:pPr>
        <w:pStyle w:val="ListBullet"/>
        <w:spacing w:after="50"/>
        <w:ind w:left="317" w:hanging="173"/>
      </w:pPr>
      <w:r>
        <w:rPr>
          <w:color w:val="2B2228"/>
          <w:sz w:val="18"/>
        </w:rPr>
        <w:t>Servicios, pagos, mantenimiento, proveedores, garantías, inventario útil, compras y despensa.</w:t>
      </w:r>
    </w:p>
    <w:p>
      <w:pPr>
        <w:pStyle w:val="ListBullet"/>
        <w:spacing w:after="50"/>
        <w:ind w:left="317" w:hanging="173"/>
      </w:pPr>
      <w:r>
        <w:rPr>
          <w:color w:val="2B2228"/>
          <w:sz w:val="18"/>
        </w:rPr>
        <w:t>Coste/historial de reparaciones para decisiones de reemplazo.</w:t>
      </w:r>
    </w:p>
    <w:p>
      <w:pPr>
        <w:pStyle w:val="ListBullet"/>
        <w:spacing w:after="50"/>
        <w:ind w:left="317" w:hanging="173"/>
      </w:pPr>
      <w:r>
        <w:rPr>
          <w:color w:val="2B2228"/>
          <w:sz w:val="18"/>
        </w:rPr>
        <w:t>Documentos de casa y familia relacionados con entidades del Life Graph.</w:t>
      </w:r>
    </w:p>
    <w:p>
      <w:pPr>
        <w:pStyle w:val="ListBullet"/>
        <w:spacing w:after="50"/>
        <w:ind w:left="317" w:hanging="173"/>
      </w:pPr>
      <w:r>
        <w:rPr>
          <w:color w:val="2B2228"/>
          <w:sz w:val="18"/>
        </w:rPr>
        <w:t>Compras y supermercado conectados con presupuesto, nutrición, familia y tiempo.</w:t>
      </w:r>
    </w:p>
    <w:p>
      <w:pPr>
        <w:pStyle w:val="Heading2"/>
      </w:pPr>
      <w:r>
        <w:t>9.10 Nutrición, Movimiento y Sueño</w:t>
      </w:r>
    </w:p>
    <w:p>
      <w:pPr>
        <w:keepLines w:val="0"/>
      </w:pPr>
      <w:r>
        <w:t>Aunque forman parte del dominio corporal, se tratan como capacidades profundas por su frecuencia de uso.</w:t>
      </w:r>
    </w:p>
    <w:p>
      <w:pPr>
        <w:pStyle w:val="ListBullet"/>
        <w:spacing w:after="50"/>
        <w:ind w:left="317" w:hanging="173"/>
      </w:pPr>
      <w:r>
        <w:rPr>
          <w:color w:val="2B2228"/>
          <w:sz w:val="18"/>
        </w:rPr>
        <w:t>Nutrición: foto/voz, alimentos, objetivos, familia, restricciones, presupuesto, despensa, menú, lista y restaurantes.</w:t>
      </w:r>
    </w:p>
    <w:p>
      <w:pPr>
        <w:pStyle w:val="ListBullet"/>
        <w:spacing w:after="50"/>
        <w:ind w:left="317" w:hanging="173"/>
      </w:pPr>
      <w:r>
        <w:rPr>
          <w:color w:val="2B2228"/>
          <w:sz w:val="18"/>
        </w:rPr>
        <w:t>Ejemplo de alto valor: “Somos cuatro, tengo $1,500, esto hay en casa y no tengo tiempo; resuélveme las cenas.”</w:t>
      </w:r>
    </w:p>
    <w:p>
      <w:pPr>
        <w:pStyle w:val="ListBullet"/>
        <w:spacing w:after="50"/>
        <w:ind w:left="317" w:hanging="173"/>
      </w:pPr>
      <w:r>
        <w:rPr>
          <w:color w:val="2B2228"/>
          <w:sz w:val="18"/>
        </w:rPr>
        <w:t>Movimiento: fuerza, cardio, movilidad, recuperación, lesiones registradas, energía, agenda y objetivos.</w:t>
      </w:r>
    </w:p>
    <w:p>
      <w:pPr>
        <w:pStyle w:val="ListBullet"/>
        <w:spacing w:after="50"/>
        <w:ind w:left="317" w:hanging="173"/>
      </w:pPr>
      <w:r>
        <w:rPr>
          <w:color w:val="2B2228"/>
          <w:sz w:val="18"/>
        </w:rPr>
        <w:t>Sueño: duración/calidad, rutinas y correlaciones con actividad, emociones, alimentación y contexto.</w:t>
      </w:r>
    </w:p>
    <w:p>
      <w:pPr>
        <w:pStyle w:val="ListBullet"/>
        <w:spacing w:after="50"/>
        <w:ind w:left="317" w:hanging="173"/>
      </w:pPr>
      <w:r>
        <w:rPr>
          <w:color w:val="2B2228"/>
          <w:sz w:val="18"/>
        </w:rPr>
        <w:t>No obsesionar con calorías o scores; priorizar tendencias y decisiones útiles.</w:t>
      </w:r>
    </w:p>
    <w:p>
      <w:pPr>
        <w:pStyle w:val="Heading2"/>
      </w:pPr>
      <w:r>
        <w:t>9.11 Estilo, Belleza e Imagen</w:t>
      </w:r>
    </w:p>
    <w:p>
      <w:pPr>
        <w:keepLines w:val="0"/>
      </w:pPr>
      <w:r>
        <w:t>No se trata de vender productos. El módulo ayuda a gestionar rutina, identidad e imagen en distintas etapas y cambios corporales.</w:t>
      </w:r>
    </w:p>
    <w:p>
      <w:pPr>
        <w:pStyle w:val="ListBullet"/>
        <w:spacing w:after="50"/>
        <w:ind w:left="317" w:hanging="173"/>
      </w:pPr>
      <w:r>
        <w:rPr>
          <w:color w:val="2B2228"/>
          <w:sz w:val="18"/>
        </w:rPr>
        <w:t>Piel/cabello: productos, rutina, inventario, gasto, resultados percibidos y fotos opcionales.</w:t>
      </w:r>
    </w:p>
    <w:p>
      <w:pPr>
        <w:pStyle w:val="ListBullet"/>
        <w:spacing w:after="50"/>
        <w:ind w:left="317" w:hanging="173"/>
      </w:pPr>
      <w:r>
        <w:rPr>
          <w:color w:val="2B2228"/>
          <w:sz w:val="18"/>
        </w:rPr>
        <w:t>Guardarropa: piezas, outfits, clima, agenda, cost-per-wear, packing y compras.</w:t>
      </w:r>
    </w:p>
    <w:p>
      <w:pPr>
        <w:pStyle w:val="ListBullet"/>
        <w:spacing w:after="50"/>
        <w:ind w:left="317" w:hanging="173"/>
      </w:pPr>
      <w:r>
        <w:rPr>
          <w:color w:val="2B2228"/>
          <w:sz w:val="18"/>
        </w:rPr>
        <w:t>Evitar duplicados: “ya tienes dos productos con la misma función”.</w:t>
      </w:r>
    </w:p>
    <w:p>
      <w:pPr>
        <w:pStyle w:val="ListBullet"/>
        <w:spacing w:after="50"/>
        <w:ind w:left="317" w:hanging="173"/>
      </w:pPr>
      <w:r>
        <w:rPr>
          <w:color w:val="2B2228"/>
          <w:sz w:val="18"/>
        </w:rPr>
        <w:t>Acompañar cambios corporales después de embarazo, menopausia, variaciones de peso, enfermedad o reinvención.</w:t>
      </w:r>
    </w:p>
    <w:p>
      <w:pPr>
        <w:pStyle w:val="Heading2"/>
      </w:pPr>
      <w:r>
        <w:t>9.12 Documentos &amp; Bóveda Personal</w:t>
      </w:r>
    </w:p>
    <w:p>
      <w:pPr>
        <w:keepLines w:val="0"/>
      </w:pPr>
      <w:r>
        <w:t>BEMARA no es un archivo pasivo. Lee, clasifica, relaciona y convierte documentos en acciones.</w:t>
      </w:r>
    </w:p>
    <w:p>
      <w:pPr>
        <w:pStyle w:val="ListBullet"/>
        <w:spacing w:after="50"/>
        <w:ind w:left="317" w:hanging="173"/>
      </w:pPr>
      <w:r>
        <w:rPr>
          <w:color w:val="2B2228"/>
          <w:sz w:val="18"/>
        </w:rPr>
        <w:t>INE/ID, pasaportes, licencias, visas, pólizas, contratos, escrituras, facturas, garantías, recetas, estudios y documentos familiares autorizados.</w:t>
      </w:r>
    </w:p>
    <w:p>
      <w:pPr>
        <w:pStyle w:val="ListBullet"/>
        <w:spacing w:after="50"/>
        <w:ind w:left="317" w:hanging="173"/>
      </w:pPr>
      <w:r>
        <w:rPr>
          <w:color w:val="2B2228"/>
          <w:sz w:val="18"/>
        </w:rPr>
        <w:t>Pipeline: captura → extracción → clasificación → metadata → entidades → fechas → vencimientos → Life Graph → acción.</w:t>
      </w:r>
    </w:p>
    <w:p>
      <w:pPr>
        <w:pStyle w:val="ListBullet"/>
        <w:spacing w:after="50"/>
        <w:ind w:left="317" w:hanging="173"/>
      </w:pPr>
      <w:r>
        <w:rPr>
          <w:color w:val="2B2228"/>
          <w:sz w:val="18"/>
        </w:rPr>
        <w:t>Búsqueda semántica: “¿Cuándo fue mi último estudio?” o “¿sigue vigente esta garantía?”.</w:t>
      </w:r>
    </w:p>
    <w:p>
      <w:pPr>
        <w:pStyle w:val="ListBullet"/>
        <w:spacing w:after="50"/>
        <w:ind w:left="317" w:hanging="173"/>
      </w:pPr>
      <w:r>
        <w:rPr>
          <w:color w:val="2B2228"/>
          <w:sz w:val="18"/>
        </w:rPr>
        <w:t>Compartición temporal/selectiva de reportes o documentos; nunca acceso global por defecto.</w:t>
      </w:r>
    </w:p>
    <w:p>
      <w:pPr>
        <w:pStyle w:val="Heading2"/>
      </w:pPr>
      <w:r>
        <w:t>9.13 Seguridad &amp; Viajes</w:t>
      </w:r>
    </w:p>
    <w:p>
      <w:pPr>
        <w:keepLines w:val="0"/>
      </w:pPr>
      <w:r>
        <w:t>Seguridad debe ayudar sin convertirse en vigilancia de pareja/familia.</w:t>
      </w:r>
    </w:p>
    <w:p>
      <w:pPr>
        <w:pStyle w:val="ListBullet"/>
        <w:spacing w:after="50"/>
        <w:ind w:left="317" w:hanging="173"/>
      </w:pPr>
      <w:r>
        <w:rPr>
          <w:color w:val="2B2228"/>
          <w:sz w:val="18"/>
        </w:rPr>
        <w:t>Modo cita, regreso a casa, viaje sola y actividad sola.</w:t>
      </w:r>
    </w:p>
    <w:p>
      <w:pPr>
        <w:pStyle w:val="ListBullet"/>
        <w:spacing w:after="50"/>
        <w:ind w:left="317" w:hanging="173"/>
      </w:pPr>
      <w:r>
        <w:rPr>
          <w:color w:val="2B2228"/>
          <w:sz w:val="18"/>
        </w:rPr>
        <w:t>Check-in programado, ETA, contacto confiable y escalamiento configurado por la usuaria.</w:t>
      </w:r>
    </w:p>
    <w:p>
      <w:pPr>
        <w:pStyle w:val="ListBullet"/>
        <w:spacing w:after="50"/>
        <w:ind w:left="317" w:hanging="173"/>
      </w:pPr>
      <w:r>
        <w:rPr>
          <w:color w:val="2B2228"/>
          <w:sz w:val="18"/>
        </w:rPr>
        <w:t>Bóveda de emergencia con información seleccionada.</w:t>
      </w:r>
    </w:p>
    <w:p>
      <w:pPr>
        <w:pStyle w:val="ListBullet"/>
        <w:spacing w:after="50"/>
        <w:ind w:left="317" w:hanging="173"/>
      </w:pPr>
      <w:r>
        <w:rPr>
          <w:color w:val="2B2228"/>
          <w:sz w:val="18"/>
        </w:rPr>
        <w:t>Viajes: presupuesto, agenda, documentos, packing, salud y seguridad conectados.</w:t>
      </w:r>
    </w:p>
    <w:p>
      <w:pPr>
        <w:pStyle w:val="ListBullet"/>
        <w:spacing w:after="50"/>
        <w:ind w:left="317" w:hanging="173"/>
      </w:pPr>
      <w:r>
        <w:rPr>
          <w:color w:val="2B2228"/>
          <w:sz w:val="18"/>
        </w:rPr>
        <w:t>Ubicación sólo cuando sea necesaria y con permisos explícitos.</w:t>
      </w:r>
    </w:p>
    <w:p>
      <w:pPr>
        <w:pStyle w:val="Heading2"/>
      </w:pPr>
      <w:r>
        <w:t>9.14 Metas, Proyectos, Duelo &amp; Reinvención</w:t>
      </w:r>
    </w:p>
    <w:p>
      <w:pPr>
        <w:keepLines w:val="0"/>
      </w:pPr>
      <w:r>
        <w:t>BEMARA convierte intención en planes realistas basados en la vida completa de la usuaria, y reconoce que no toda etapa necesita optimización.</w:t>
      </w:r>
    </w:p>
    <w:p>
      <w:pPr>
        <w:pStyle w:val="ListBullet"/>
        <w:spacing w:after="50"/>
        <w:ind w:left="317" w:hanging="173"/>
      </w:pPr>
      <w:r>
        <w:rPr>
          <w:color w:val="2B2228"/>
          <w:sz w:val="18"/>
        </w:rPr>
        <w:t>Metas: comprar casa, estudiar, viajar, correr, emprender, cambiar trabajo, salir de deudas, ampliar vida social, etc.</w:t>
      </w:r>
    </w:p>
    <w:p>
      <w:pPr>
        <w:pStyle w:val="ListBullet"/>
        <w:spacing w:after="50"/>
        <w:ind w:left="317" w:hanging="173"/>
      </w:pPr>
      <w:r>
        <w:rPr>
          <w:color w:val="2B2228"/>
          <w:sz w:val="18"/>
        </w:rPr>
        <w:t>Motor: deseo → viabilidad → plan → dinero → calendario → acciones → seguimiento.</w:t>
      </w:r>
    </w:p>
    <w:p>
      <w:pPr>
        <w:pStyle w:val="ListBullet"/>
        <w:spacing w:after="50"/>
        <w:ind w:left="317" w:hanging="173"/>
      </w:pPr>
      <w:r>
        <w:rPr>
          <w:color w:val="2B2228"/>
          <w:sz w:val="18"/>
        </w:rPr>
        <w:t>Duelo: muerte, pérdida gestacional, infertilidad, divorcio, mascota, salud, trabajo o identidad/etapa; nunca gamificar.</w:t>
      </w:r>
    </w:p>
    <w:p>
      <w:pPr>
        <w:pStyle w:val="ListBullet"/>
        <w:spacing w:after="50"/>
        <w:ind w:left="317" w:hanging="173"/>
      </w:pPr>
      <w:r>
        <w:rPr>
          <w:color w:val="2B2228"/>
          <w:sz w:val="18"/>
        </w:rPr>
        <w:t>Reinvención: ayudar a rediseñar vida social, trabajo, dinero, salud, imagen y propósito después de cambios importantes.</w:t>
      </w:r>
    </w:p>
    <w:p>
      <w:pPr>
        <w:pStyle w:val="Heading1"/>
      </w:pPr>
      <w:r>
        <w:t>10. LENA: inteligencia femenina de BEMARA</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LENA es una sola presencia para la usuaria. No existen múltiples personajes visibles. Internamente BEMARA puede usar skills/agentes especializados, pero LENA conserva continuidad de voz, memoria y relación.</w:t>
      </w:r>
    </w:p>
    <w:p>
      <w:pPr>
        <w:keepLines w:val="0"/>
      </w:pPr>
      <w:r>
        <w:t>LENA es IA y nunca finge ser humana, terapeuta, doctora o asesora financiera. Su personalidad es contemporánea, cálida, clara, adulta, con criterio, cero condescendencia y capacidad de ser directa cuando el contexto lo requiera.</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241820"/>
            <w:vAlign w:val="center"/>
          </w:tcPr>
          <w:p>
            <w:r>
              <w:rPr>
                <w:b/>
                <w:color w:val="FFFFFF"/>
                <w:sz w:val="17"/>
              </w:rPr>
              <w:t>Capacidad</w:t>
            </w:r>
          </w:p>
        </w:tc>
        <w:tc>
          <w:tcPr>
            <w:tcW w:type="dxa" w:w="5083"/>
            <w:shd w:fill="241820"/>
            <w:vAlign w:val="center"/>
          </w:tcPr>
          <w:p>
            <w:r>
              <w:rPr>
                <w:b/>
                <w:color w:val="FFFFFF"/>
                <w:sz w:val="17"/>
              </w:rPr>
              <w:t>Qué significa</w:t>
            </w:r>
          </w:p>
        </w:tc>
      </w:tr>
      <w:tr>
        <w:tc>
          <w:tcPr>
            <w:tcW w:type="dxa" w:w="5083"/>
            <w:shd w:fill="F7F1ED"/>
            <w:vAlign w:val="center"/>
            <w:tcBorders>
              <w:bottom w:val="single" w:sz="4" w:color="E2D4CF"/>
            </w:tcBorders>
          </w:tcPr>
          <w:p>
            <w:pPr>
              <w:spacing w:after="0"/>
            </w:pPr>
            <w:r>
              <w:rPr>
                <w:color w:val="2B2228"/>
                <w:sz w:val="17"/>
              </w:rPr>
              <w:t>Memoria</w:t>
            </w:r>
          </w:p>
        </w:tc>
        <w:tc>
          <w:tcPr>
            <w:tcW w:type="dxa" w:w="5083"/>
            <w:shd w:fill="F7F1ED"/>
            <w:vAlign w:val="center"/>
            <w:tcBorders>
              <w:bottom w:val="single" w:sz="4" w:color="E2D4CF"/>
            </w:tcBorders>
          </w:tcPr>
          <w:p>
            <w:pPr>
              <w:spacing w:after="0"/>
            </w:pPr>
            <w:r>
              <w:rPr>
                <w:color w:val="2B2228"/>
                <w:sz w:val="17"/>
              </w:rPr>
              <w:t>Recuerda sólo lo autorizado; editable y borrable.</w:t>
            </w:r>
          </w:p>
        </w:tc>
      </w:tr>
      <w:tr>
        <w:tc>
          <w:tcPr>
            <w:tcW w:type="dxa" w:w="5083"/>
            <w:shd w:fill="F2E9E2"/>
            <w:vAlign w:val="center"/>
            <w:tcBorders>
              <w:bottom w:val="single" w:sz="4" w:color="E2D4CF"/>
            </w:tcBorders>
          </w:tcPr>
          <w:p>
            <w:pPr>
              <w:spacing w:after="0"/>
            </w:pPr>
            <w:r>
              <w:rPr>
                <w:color w:val="2B2228"/>
                <w:sz w:val="17"/>
              </w:rPr>
              <w:t>Contexto</w:t>
            </w:r>
          </w:p>
        </w:tc>
        <w:tc>
          <w:tcPr>
            <w:tcW w:type="dxa" w:w="5083"/>
            <w:shd w:fill="F2E9E2"/>
            <w:vAlign w:val="center"/>
            <w:tcBorders>
              <w:bottom w:val="single" w:sz="4" w:color="E2D4CF"/>
            </w:tcBorders>
          </w:tcPr>
          <w:p>
            <w:pPr>
              <w:spacing w:after="0"/>
            </w:pPr>
            <w:r>
              <w:rPr>
                <w:color w:val="2B2228"/>
                <w:sz w:val="17"/>
              </w:rPr>
              <w:t>Comprende etapa, personas, prioridades y situación actual.</w:t>
            </w:r>
          </w:p>
        </w:tc>
      </w:tr>
      <w:tr>
        <w:tc>
          <w:tcPr>
            <w:tcW w:type="dxa" w:w="5083"/>
            <w:shd w:fill="F7F1ED"/>
            <w:vAlign w:val="center"/>
            <w:tcBorders>
              <w:bottom w:val="single" w:sz="4" w:color="E2D4CF"/>
            </w:tcBorders>
          </w:tcPr>
          <w:p>
            <w:pPr>
              <w:spacing w:after="0"/>
            </w:pPr>
            <w:r>
              <w:rPr>
                <w:color w:val="2B2228"/>
                <w:sz w:val="17"/>
              </w:rPr>
              <w:t>Relacional</w:t>
            </w:r>
          </w:p>
        </w:tc>
        <w:tc>
          <w:tcPr>
            <w:tcW w:type="dxa" w:w="5083"/>
            <w:shd w:fill="F7F1ED"/>
            <w:vAlign w:val="center"/>
            <w:tcBorders>
              <w:bottom w:val="single" w:sz="4" w:color="E2D4CF"/>
            </w:tcBorders>
          </w:tcPr>
          <w:p>
            <w:pPr>
              <w:spacing w:after="0"/>
            </w:pPr>
            <w:r>
              <w:rPr>
                <w:color w:val="2B2228"/>
                <w:sz w:val="17"/>
              </w:rPr>
              <w:t>Cruza dominios: dinero, salud, tiempo, familia, etc.</w:t>
            </w:r>
          </w:p>
        </w:tc>
      </w:tr>
      <w:tr>
        <w:tc>
          <w:tcPr>
            <w:tcW w:type="dxa" w:w="5083"/>
            <w:shd w:fill="F2E9E2"/>
            <w:vAlign w:val="center"/>
            <w:tcBorders>
              <w:bottom w:val="single" w:sz="4" w:color="E2D4CF"/>
            </w:tcBorders>
          </w:tcPr>
          <w:p>
            <w:pPr>
              <w:spacing w:after="0"/>
            </w:pPr>
            <w:r>
              <w:rPr>
                <w:color w:val="2B2228"/>
                <w:sz w:val="17"/>
              </w:rPr>
              <w:t>Longitudinal</w:t>
            </w:r>
          </w:p>
        </w:tc>
        <w:tc>
          <w:tcPr>
            <w:tcW w:type="dxa" w:w="5083"/>
            <w:shd w:fill="F2E9E2"/>
            <w:vAlign w:val="center"/>
            <w:tcBorders>
              <w:bottom w:val="single" w:sz="4" w:color="E2D4CF"/>
            </w:tcBorders>
          </w:tcPr>
          <w:p>
            <w:pPr>
              <w:spacing w:after="0"/>
            </w:pPr>
            <w:r>
              <w:rPr>
                <w:color w:val="2B2228"/>
                <w:sz w:val="17"/>
              </w:rPr>
              <w:t>Compara meses/años y cambios en el tiempo.</w:t>
            </w:r>
          </w:p>
        </w:tc>
      </w:tr>
      <w:tr>
        <w:tc>
          <w:tcPr>
            <w:tcW w:type="dxa" w:w="5083"/>
            <w:shd w:fill="F7F1ED"/>
            <w:vAlign w:val="center"/>
            <w:tcBorders>
              <w:bottom w:val="single" w:sz="4" w:color="E2D4CF"/>
            </w:tcBorders>
          </w:tcPr>
          <w:p>
            <w:pPr>
              <w:spacing w:after="0"/>
            </w:pPr>
            <w:r>
              <w:rPr>
                <w:color w:val="2B2228"/>
                <w:sz w:val="17"/>
              </w:rPr>
              <w:t>Predictiva</w:t>
            </w:r>
          </w:p>
        </w:tc>
        <w:tc>
          <w:tcPr>
            <w:tcW w:type="dxa" w:w="5083"/>
            <w:shd w:fill="F7F1ED"/>
            <w:vAlign w:val="center"/>
            <w:tcBorders>
              <w:bottom w:val="single" w:sz="4" w:color="E2D4CF"/>
            </w:tcBorders>
          </w:tcPr>
          <w:p>
            <w:pPr>
              <w:spacing w:after="0"/>
            </w:pPr>
            <w:r>
              <w:rPr>
                <w:color w:val="2B2228"/>
                <w:sz w:val="17"/>
              </w:rPr>
              <w:t>Anticipa tendencias razonables con modelos apropiados.</w:t>
            </w:r>
          </w:p>
        </w:tc>
      </w:tr>
      <w:tr>
        <w:tc>
          <w:tcPr>
            <w:tcW w:type="dxa" w:w="5083"/>
            <w:shd w:fill="F2E9E2"/>
            <w:vAlign w:val="center"/>
            <w:tcBorders>
              <w:bottom w:val="single" w:sz="4" w:color="E2D4CF"/>
            </w:tcBorders>
          </w:tcPr>
          <w:p>
            <w:pPr>
              <w:spacing w:after="0"/>
            </w:pPr>
            <w:r>
              <w:rPr>
                <w:color w:val="2B2228"/>
                <w:sz w:val="17"/>
              </w:rPr>
              <w:t>Proactiva</w:t>
            </w:r>
          </w:p>
        </w:tc>
        <w:tc>
          <w:tcPr>
            <w:tcW w:type="dxa" w:w="5083"/>
            <w:shd w:fill="F2E9E2"/>
            <w:vAlign w:val="center"/>
            <w:tcBorders>
              <w:bottom w:val="single" w:sz="4" w:color="E2D4CF"/>
            </w:tcBorders>
          </w:tcPr>
          <w:p>
            <w:pPr>
              <w:spacing w:after="0"/>
            </w:pPr>
            <w:r>
              <w:rPr>
                <w:color w:val="2B2228"/>
                <w:sz w:val="17"/>
              </w:rPr>
              <w:t>Puede iniciar una conversación o propuesta útil.</w:t>
            </w:r>
          </w:p>
        </w:tc>
      </w:tr>
      <w:tr>
        <w:tc>
          <w:tcPr>
            <w:tcW w:type="dxa" w:w="5083"/>
            <w:shd w:fill="F7F1ED"/>
            <w:vAlign w:val="center"/>
            <w:tcBorders>
              <w:bottom w:val="single" w:sz="4" w:color="E2D4CF"/>
            </w:tcBorders>
          </w:tcPr>
          <w:p>
            <w:pPr>
              <w:spacing w:after="0"/>
            </w:pPr>
            <w:r>
              <w:rPr>
                <w:color w:val="2B2228"/>
                <w:sz w:val="17"/>
              </w:rPr>
              <w:t>Ejecutora</w:t>
            </w:r>
          </w:p>
        </w:tc>
        <w:tc>
          <w:tcPr>
            <w:tcW w:type="dxa" w:w="5083"/>
            <w:shd w:fill="F7F1ED"/>
            <w:vAlign w:val="center"/>
            <w:tcBorders>
              <w:bottom w:val="single" w:sz="4" w:color="E2D4CF"/>
            </w:tcBorders>
          </w:tcPr>
          <w:p>
            <w:pPr>
              <w:spacing w:after="0"/>
            </w:pPr>
            <w:r>
              <w:rPr>
                <w:color w:val="2B2228"/>
                <w:sz w:val="17"/>
              </w:rPr>
              <w:t>Agenda, prepara, organiza, delega o realiza acciones autorizadas.</w:t>
            </w:r>
          </w:p>
        </w:tc>
      </w:tr>
      <w:tr>
        <w:tc>
          <w:tcPr>
            <w:tcW w:type="dxa" w:w="5083"/>
            <w:shd w:fill="F2E9E2"/>
            <w:vAlign w:val="center"/>
            <w:tcBorders>
              <w:bottom w:val="single" w:sz="4" w:color="E2D4CF"/>
            </w:tcBorders>
          </w:tcPr>
          <w:p>
            <w:pPr>
              <w:spacing w:after="0"/>
            </w:pPr>
            <w:r>
              <w:rPr>
                <w:color w:val="2B2228"/>
                <w:sz w:val="17"/>
              </w:rPr>
              <w:t>Simuladora</w:t>
            </w:r>
          </w:p>
        </w:tc>
        <w:tc>
          <w:tcPr>
            <w:tcW w:type="dxa" w:w="5083"/>
            <w:shd w:fill="F2E9E2"/>
            <w:vAlign w:val="center"/>
            <w:tcBorders>
              <w:bottom w:val="single" w:sz="4" w:color="E2D4CF"/>
            </w:tcBorders>
          </w:tcPr>
          <w:p>
            <w:pPr>
              <w:spacing w:after="0"/>
            </w:pPr>
            <w:r>
              <w:rPr>
                <w:color w:val="2B2228"/>
                <w:sz w:val="17"/>
              </w:rPr>
              <w:t>Responde “qué pasa si…” con datos de la usuaria.</w:t>
            </w:r>
          </w:p>
        </w:tc>
      </w:tr>
      <w:tr>
        <w:tc>
          <w:tcPr>
            <w:tcW w:type="dxa" w:w="5083"/>
            <w:shd w:fill="F7F1ED"/>
            <w:vAlign w:val="center"/>
            <w:tcBorders>
              <w:bottom w:val="single" w:sz="4" w:color="E2D4CF"/>
            </w:tcBorders>
          </w:tcPr>
          <w:p>
            <w:pPr>
              <w:spacing w:after="0"/>
            </w:pPr>
            <w:r>
              <w:rPr>
                <w:color w:val="2B2228"/>
                <w:sz w:val="17"/>
              </w:rPr>
              <w:t>Protectora</w:t>
            </w:r>
          </w:p>
        </w:tc>
        <w:tc>
          <w:tcPr>
            <w:tcW w:type="dxa" w:w="5083"/>
            <w:shd w:fill="F7F1ED"/>
            <w:vAlign w:val="center"/>
            <w:tcBorders>
              <w:bottom w:val="single" w:sz="4" w:color="E2D4CF"/>
            </w:tcBorders>
          </w:tcPr>
          <w:p>
            <w:pPr>
              <w:spacing w:after="0"/>
            </w:pPr>
            <w:r>
              <w:rPr>
                <w:color w:val="2B2228"/>
                <w:sz w:val="17"/>
              </w:rPr>
              <w:t>Reconoce límites y deriva a ayuda humana cuando corresponde.</w:t>
            </w:r>
          </w:p>
        </w:tc>
      </w:tr>
      <w:tr>
        <w:tc>
          <w:tcPr>
            <w:tcW w:type="dxa" w:w="5083"/>
            <w:shd w:fill="F2E9E2"/>
            <w:vAlign w:val="center"/>
            <w:tcBorders>
              <w:bottom w:val="single" w:sz="4" w:color="E2D4CF"/>
            </w:tcBorders>
          </w:tcPr>
          <w:p>
            <w:pPr>
              <w:spacing w:after="0"/>
            </w:pPr>
            <w:r>
              <w:rPr>
                <w:color w:val="2B2228"/>
                <w:sz w:val="17"/>
              </w:rPr>
              <w:t>Adaptativa</w:t>
            </w:r>
          </w:p>
        </w:tc>
        <w:tc>
          <w:tcPr>
            <w:tcW w:type="dxa" w:w="5083"/>
            <w:shd w:fill="F2E9E2"/>
            <w:vAlign w:val="center"/>
            <w:tcBorders>
              <w:bottom w:val="single" w:sz="4" w:color="E2D4CF"/>
            </w:tcBorders>
          </w:tcPr>
          <w:p>
            <w:pPr>
              <w:spacing w:after="0"/>
            </w:pPr>
            <w:r>
              <w:rPr>
                <w:color w:val="2B2228"/>
                <w:sz w:val="17"/>
              </w:rPr>
              <w:t>Cambia tono, módulos y prioridades conforme cambia la mujer.</w:t>
            </w:r>
          </w:p>
        </w:tc>
      </w:tr>
    </w:tbl>
    <w:p>
      <w:pPr>
        <w:spacing w:after="40"/>
      </w:pPr>
    </w:p>
    <w:p>
      <w:pPr>
        <w:pStyle w:val="Heading2"/>
      </w:pPr>
      <w:r>
        <w:t>10.1 Modos de conversación</w:t>
      </w:r>
    </w:p>
    <w:p>
      <w:pPr>
        <w:pStyle w:val="ListBullet"/>
        <w:spacing w:after="50"/>
        <w:ind w:left="317" w:hanging="173"/>
      </w:pPr>
      <w:r>
        <w:rPr>
          <w:color w:val="2B2228"/>
          <w:sz w:val="18"/>
        </w:rPr>
        <w:t>Escúchame: prioriza contención y preguntas mínimas; no intenta arreglar todo.</w:t>
      </w:r>
    </w:p>
    <w:p>
      <w:pPr>
        <w:pStyle w:val="ListBullet"/>
        <w:spacing w:after="50"/>
        <w:ind w:left="317" w:hanging="173"/>
      </w:pPr>
      <w:r>
        <w:rPr>
          <w:color w:val="2B2228"/>
          <w:sz w:val="18"/>
        </w:rPr>
        <w:t>Ayúdame a entenderlo: ordena hechos, emociones y contexto.</w:t>
      </w:r>
    </w:p>
    <w:p>
      <w:pPr>
        <w:pStyle w:val="ListBullet"/>
        <w:spacing w:after="50"/>
        <w:ind w:left="317" w:hanging="173"/>
      </w:pPr>
      <w:r>
        <w:rPr>
          <w:color w:val="2B2228"/>
          <w:sz w:val="18"/>
        </w:rPr>
        <w:t>Dame perspectiva: ofrece otras lecturas sin imponer una conclusión.</w:t>
      </w:r>
    </w:p>
    <w:p>
      <w:pPr>
        <w:pStyle w:val="ListBullet"/>
        <w:spacing w:after="50"/>
        <w:ind w:left="317" w:hanging="173"/>
      </w:pPr>
      <w:r>
        <w:rPr>
          <w:color w:val="2B2228"/>
          <w:sz w:val="18"/>
        </w:rPr>
        <w:t>Necesito decidir: estructura opciones, consecuencias y valores de la usuaria.</w:t>
      </w:r>
    </w:p>
    <w:p>
      <w:pPr>
        <w:pStyle w:val="ListBullet"/>
        <w:spacing w:after="50"/>
        <w:ind w:left="317" w:hanging="173"/>
      </w:pPr>
      <w:r>
        <w:rPr>
          <w:color w:val="2B2228"/>
          <w:sz w:val="18"/>
        </w:rPr>
        <w:t>Ayúdame a actuar: crea plan y propone/ejecuta acciones.</w:t>
      </w:r>
    </w:p>
    <w:p>
      <w:pPr>
        <w:pStyle w:val="ListBullet"/>
        <w:spacing w:after="50"/>
        <w:ind w:left="317" w:hanging="173"/>
      </w:pPr>
      <w:r>
        <w:rPr>
          <w:color w:val="2B2228"/>
          <w:sz w:val="18"/>
        </w:rPr>
        <w:t>No guardes esto: conversación efímera; no entra a memoria personal.</w:t>
      </w:r>
    </w:p>
    <w:p>
      <w:pPr>
        <w:pStyle w:val="Heading2"/>
      </w:pPr>
      <w:r>
        <w:t>10.2 Agentes/skills internos de LENA</w:t>
      </w:r>
    </w:p>
    <w:p>
      <w:pPr>
        <w:keepLines w:val="0"/>
      </w:pPr>
      <w:r>
        <w:t>Skills sugeridos: Health, Emotional, Finance, Planning, Mental Load, Family/Care, Relationships, Nutrition, Documents, Career, Safety, Mail/Executive y Research. Son componentes técnicos, no personalidades visibles.</w:t>
      </w:r>
    </w:p>
    <w:p>
      <w:pPr>
        <w:keepLines w:val="0"/>
      </w:pPr>
      <w:r>
        <w:t>El LENA Orchestrator decide qué contexto recuperar, qué skill llamar, qué herramienta ejecutar, qué permiso se necesita y si una acción requiere confirmación.</w:t>
      </w:r>
    </w:p>
    <w:p>
      <w:pPr>
        <w:pStyle w:val="Heading1"/>
      </w:pPr>
      <w:r>
        <w:t>11. BEMARA Executive Layer</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Capa transversal que hace que BEMARA no sólo comprenda la vida, sino que ayude a operarla. Une Mail + Calendar + Tasks + Contacts + Documents + Finance + Life Graph + Notifications.</w:t>
      </w:r>
    </w:p>
    <w:p>
      <w:pPr>
        <w:pStyle w:val="ListBullet"/>
        <w:spacing w:after="50"/>
        <w:ind w:left="317" w:hanging="173"/>
      </w:pPr>
      <w:r>
        <w:rPr>
          <w:color w:val="2B2228"/>
          <w:sz w:val="18"/>
        </w:rPr>
        <w:t>Resumen ejecutivo personal de lo importante.</w:t>
      </w:r>
    </w:p>
    <w:p>
      <w:pPr>
        <w:pStyle w:val="ListBullet"/>
        <w:spacing w:after="50"/>
        <w:ind w:left="317" w:hanging="173"/>
      </w:pPr>
      <w:r>
        <w:rPr>
          <w:color w:val="2B2228"/>
          <w:sz w:val="18"/>
        </w:rPr>
        <w:t>Preparar respuestas, seguimientos y reuniones.</w:t>
      </w:r>
    </w:p>
    <w:p>
      <w:pPr>
        <w:pStyle w:val="ListBullet"/>
        <w:spacing w:after="50"/>
        <w:ind w:left="317" w:hanging="173"/>
      </w:pPr>
      <w:r>
        <w:rPr>
          <w:color w:val="2B2228"/>
          <w:sz w:val="18"/>
        </w:rPr>
        <w:t>Detectar compromisos en emails/documentos y convertirlos en acciones.</w:t>
      </w:r>
    </w:p>
    <w:p>
      <w:pPr>
        <w:pStyle w:val="ListBullet"/>
        <w:spacing w:after="50"/>
        <w:ind w:left="317" w:hanging="173"/>
      </w:pPr>
      <w:r>
        <w:rPr>
          <w:color w:val="2B2228"/>
          <w:sz w:val="18"/>
        </w:rPr>
        <w:t>Mantener “waiting for”: cosas que terceros prometieron y siguen pendientes.</w:t>
      </w:r>
    </w:p>
    <w:p>
      <w:pPr>
        <w:pStyle w:val="ListBullet"/>
        <w:spacing w:after="50"/>
        <w:ind w:left="317" w:hanging="173"/>
      </w:pPr>
      <w:r>
        <w:rPr>
          <w:color w:val="2B2228"/>
          <w:sz w:val="18"/>
        </w:rPr>
        <w:t>Organizar agenda con capacidad real.</w:t>
      </w:r>
    </w:p>
    <w:p>
      <w:pPr>
        <w:pStyle w:val="ListBullet"/>
        <w:spacing w:after="50"/>
        <w:ind w:left="317" w:hanging="173"/>
      </w:pPr>
      <w:r>
        <w:rPr>
          <w:color w:val="2B2228"/>
          <w:sz w:val="18"/>
        </w:rPr>
        <w:t>Encontrar información en historial y documentos.</w:t>
      </w:r>
    </w:p>
    <w:p>
      <w:pPr>
        <w:pStyle w:val="ListBullet"/>
        <w:spacing w:after="50"/>
        <w:ind w:left="317" w:hanging="173"/>
      </w:pPr>
      <w:r>
        <w:rPr>
          <w:color w:val="2B2228"/>
          <w:sz w:val="18"/>
        </w:rPr>
        <w:t>Crear drafts, planes, listas, checklists y recordatorios.</w:t>
      </w:r>
    </w:p>
    <w:p>
      <w:pPr>
        <w:pStyle w:val="ListBullet"/>
        <w:spacing w:after="50"/>
        <w:ind w:left="317" w:hanging="173"/>
      </w:pPr>
      <w:r>
        <w:rPr>
          <w:color w:val="2B2228"/>
          <w:sz w:val="18"/>
        </w:rPr>
        <w:t>Niveles de autonomía: sugerir → preparar → ejecutar dentro de reglas autorizadas.</w:t>
      </w:r>
    </w:p>
    <w:p>
      <w:pPr>
        <w:pStyle w:val="Heading1"/>
      </w:pPr>
      <w:r>
        <w:t>12. BEMARA Smart Mail y @bemara.me</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Proveedor V1 sugerido: Resend para inbound/outbound y webhooks, con capa propia BEMARA Mail Engine. No exponer dependencia al frontend.</w:t>
            </w:r>
          </w:p>
        </w:tc>
      </w:tr>
    </w:tbl>
    <w:p>
      <w:pPr>
        <w:spacing w:after="20"/>
      </w:pPr>
    </w:p>
    <w:p>
      <w:pPr>
        <w:keepLines w:val="0"/>
      </w:pPr>
      <w:r>
        <w:t>BEMARA podrá ofrecer una dirección personal @bemara.me como beneficio de plan premium/Intelligence o add-on. La decisión final de precio se toma después del análisis comercial; técnicamente debe existir como entitlement configurable.</w:t>
      </w:r>
    </w:p>
    <w:p>
      <w:pPr>
        <w:keepLines w:val="0"/>
      </w:pPr>
      <w:r>
        <w:t>La propuesta no es competir con Gmail por almacenamiento. Es “un correo que entiende tu vida”. La usuaria también podrá conectar Gmail/Outlook existentes mediante OAuth cuando esas integraciones se habiliten.</w:t>
      </w:r>
    </w:p>
    <w:p>
      <w:pPr>
        <w:pStyle w:val="ListBullet"/>
        <w:spacing w:after="50"/>
        <w:ind w:left="317" w:hanging="173"/>
      </w:pPr>
      <w:r>
        <w:rPr>
          <w:color w:val="2B2228"/>
          <w:sz w:val="18"/>
        </w:rPr>
        <w:t>Dirección tipo usuario@bemara.me, sujeta a disponibilidad y reglas anti-abuso.</w:t>
      </w:r>
    </w:p>
    <w:p>
      <w:pPr>
        <w:pStyle w:val="ListBullet"/>
        <w:spacing w:after="50"/>
        <w:ind w:left="317" w:hanging="173"/>
      </w:pPr>
      <w:r>
        <w:rPr>
          <w:color w:val="2B2228"/>
          <w:sz w:val="18"/>
        </w:rPr>
        <w:t>Smart Inbox: Necesita acción / Esperando respuesta / Dinero / Salud / Familia / Trabajo / Viajes / Documentos / Informativo.</w:t>
      </w:r>
    </w:p>
    <w:p>
      <w:pPr>
        <w:pStyle w:val="ListBullet"/>
        <w:spacing w:after="50"/>
        <w:ind w:left="317" w:hanging="173"/>
      </w:pPr>
      <w:r>
        <w:rPr>
          <w:color w:val="2B2228"/>
          <w:sz w:val="18"/>
        </w:rPr>
        <w:t>Email → evento/tarea/pago/documento/contacto/seguimiento/memoria estructurada, siempre según permisos.</w:t>
      </w:r>
    </w:p>
    <w:p>
      <w:pPr>
        <w:pStyle w:val="ListBullet"/>
        <w:spacing w:after="50"/>
        <w:ind w:left="317" w:hanging="173"/>
      </w:pPr>
      <w:r>
        <w:rPr>
          <w:color w:val="2B2228"/>
          <w:sz w:val="18"/>
        </w:rPr>
        <w:t>LENA redacta, traduce, explica intención y prepara respuestas en español o inglés.</w:t>
      </w:r>
    </w:p>
    <w:p>
      <w:pPr>
        <w:pStyle w:val="ListBullet"/>
        <w:spacing w:after="50"/>
        <w:ind w:left="317" w:hanging="173"/>
      </w:pPr>
      <w:r>
        <w:rPr>
          <w:color w:val="2B2228"/>
          <w:sz w:val="18"/>
        </w:rPr>
        <w:t>Follow-up Intelligence: “Dijeron que te enviarían esto el martes y aún no llegó”.</w:t>
      </w:r>
    </w:p>
    <w:p>
      <w:pPr>
        <w:pStyle w:val="ListBullet"/>
        <w:spacing w:after="50"/>
        <w:ind w:left="317" w:hanging="173"/>
      </w:pPr>
      <w:r>
        <w:rPr>
          <w:color w:val="2B2228"/>
          <w:sz w:val="18"/>
        </w:rPr>
        <w:t>No marketing masivo desde direcciones personales. Rate limits y reputación obligatorios.</w:t>
      </w:r>
    </w:p>
    <w:p>
      <w:pPr>
        <w:pStyle w:val="ListBullet"/>
        <w:spacing w:after="50"/>
        <w:ind w:left="317" w:hanging="173"/>
      </w:pPr>
      <w:r>
        <w:rPr>
          <w:color w:val="2B2228"/>
          <w:sz w:val="18"/>
        </w:rPr>
        <w:t>Sistema/notifications usan subdominio separado (ej. notify.bemara.me) para proteger reputación del correo personal.</w:t>
      </w:r>
    </w:p>
    <w:p>
      <w:pPr>
        <w:pStyle w:val="ListBullet"/>
        <w:spacing w:after="50"/>
        <w:ind w:left="317" w:hanging="173"/>
      </w:pPr>
      <w:r>
        <w:rPr>
          <w:color w:val="2B2228"/>
          <w:sz w:val="18"/>
        </w:rPr>
        <w:t>No reciclar de inmediato direcciones antiguas de usuarias; políticas de reserva y seguridad para evitar recepción de correo ajeno.</w:t>
      </w:r>
    </w:p>
    <w:p>
      <w:pPr>
        <w:pStyle w:val="Heading1"/>
      </w:pPr>
      <w:r>
        <w:t>13. Notification Intelligence</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Las notificaciones de BEMARA no son recordatorios genéricos. Cada una debe tener contexto, prioridad y una acción útil. El sistema aprende cuándo no interrumpir.</w:t>
      </w:r>
    </w:p>
    <w:p>
      <w:pPr>
        <w:pStyle w:val="ListBullet"/>
        <w:spacing w:after="50"/>
        <w:ind w:left="317" w:hanging="173"/>
      </w:pPr>
      <w:r>
        <w:rPr>
          <w:color w:val="2B2228"/>
          <w:sz w:val="18"/>
        </w:rPr>
        <w:t>Canales: push móvil, in-app inbox, email/digest, acciones de calendario; SMS/WhatsApp sólo si se decide posteriormente.</w:t>
      </w:r>
    </w:p>
    <w:p>
      <w:pPr>
        <w:pStyle w:val="ListBullet"/>
        <w:spacing w:after="50"/>
        <w:ind w:left="317" w:hanging="173"/>
      </w:pPr>
      <w:r>
        <w:rPr>
          <w:color w:val="2B2228"/>
          <w:sz w:val="18"/>
        </w:rPr>
        <w:t>Prioridad: Critical / Important / Contextual / Gentle / Digest-only.</w:t>
      </w:r>
    </w:p>
    <w:p>
      <w:pPr>
        <w:pStyle w:val="ListBullet"/>
        <w:spacing w:after="50"/>
        <w:ind w:left="317" w:hanging="173"/>
      </w:pPr>
      <w:r>
        <w:rPr>
          <w:color w:val="2B2228"/>
          <w:sz w:val="18"/>
        </w:rPr>
        <w:t>Quiet Intelligence: horarios, sueño, trabajo, fines de semana, vacaciones y temas que sí pueden romper silencio.</w:t>
      </w:r>
    </w:p>
    <w:p>
      <w:pPr>
        <w:pStyle w:val="ListBullet"/>
        <w:spacing w:after="50"/>
        <w:ind w:left="317" w:hanging="173"/>
      </w:pPr>
      <w:r>
        <w:rPr>
          <w:color w:val="2B2228"/>
          <w:sz w:val="18"/>
        </w:rPr>
        <w:t>Acciones rápidas desde push: confirmar, posponer, reprogramar, delegar, marcar pagado, abrir LENA.</w:t>
      </w:r>
    </w:p>
    <w:p>
      <w:pPr>
        <w:pStyle w:val="ListBullet"/>
        <w:spacing w:after="50"/>
        <w:ind w:left="317" w:hanging="173"/>
      </w:pPr>
      <w:r>
        <w:rPr>
          <w:color w:val="2B2228"/>
          <w:sz w:val="18"/>
        </w:rPr>
        <w:t>No bombardear. BEMARA debe reducir carga, no crear otra.</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241820"/>
            <w:vAlign w:val="center"/>
          </w:tcPr>
          <w:p>
            <w:r>
              <w:rPr>
                <w:b/>
                <w:color w:val="FFFFFF"/>
                <w:sz w:val="17"/>
              </w:rPr>
              <w:t>Tipo</w:t>
            </w:r>
          </w:p>
        </w:tc>
        <w:tc>
          <w:tcPr>
            <w:tcW w:type="dxa" w:w="3389"/>
            <w:shd w:fill="241820"/>
            <w:vAlign w:val="center"/>
          </w:tcPr>
          <w:p>
            <w:r>
              <w:rPr>
                <w:b/>
                <w:color w:val="FFFFFF"/>
                <w:sz w:val="17"/>
              </w:rPr>
              <w:t>Ejemplo de intención</w:t>
            </w:r>
          </w:p>
        </w:tc>
        <w:tc>
          <w:tcPr>
            <w:tcW w:type="dxa" w:w="3389"/>
            <w:shd w:fill="241820"/>
            <w:vAlign w:val="center"/>
          </w:tcPr>
          <w:p>
            <w:r>
              <w:rPr>
                <w:b/>
                <w:color w:val="FFFFFF"/>
                <w:sz w:val="17"/>
              </w:rPr>
              <w:t>Comportamiento</w:t>
            </w:r>
          </w:p>
        </w:tc>
      </w:tr>
      <w:tr>
        <w:tc>
          <w:tcPr>
            <w:tcW w:type="dxa" w:w="3389"/>
            <w:shd w:fill="F7F1ED"/>
            <w:vAlign w:val="center"/>
            <w:tcBorders>
              <w:bottom w:val="single" w:sz="4" w:color="E2D4CF"/>
            </w:tcBorders>
          </w:tcPr>
          <w:p>
            <w:pPr>
              <w:spacing w:after="0"/>
            </w:pPr>
            <w:r>
              <w:rPr>
                <w:color w:val="2B2228"/>
                <w:sz w:val="17"/>
              </w:rPr>
              <w:t>Reminder</w:t>
            </w:r>
          </w:p>
        </w:tc>
        <w:tc>
          <w:tcPr>
            <w:tcW w:type="dxa" w:w="3389"/>
            <w:shd w:fill="F7F1ED"/>
            <w:vAlign w:val="center"/>
            <w:tcBorders>
              <w:bottom w:val="single" w:sz="4" w:color="E2D4CF"/>
            </w:tcBorders>
          </w:tcPr>
          <w:p>
            <w:pPr>
              <w:spacing w:after="0"/>
            </w:pPr>
            <w:r>
              <w:rPr>
                <w:color w:val="2B2228"/>
                <w:sz w:val="17"/>
              </w:rPr>
              <w:t>“Tu póliza vence en 21 días.”</w:t>
            </w:r>
          </w:p>
        </w:tc>
        <w:tc>
          <w:tcPr>
            <w:tcW w:type="dxa" w:w="3389"/>
            <w:shd w:fill="F7F1ED"/>
            <w:vAlign w:val="center"/>
            <w:tcBorders>
              <w:bottom w:val="single" w:sz="4" w:color="E2D4CF"/>
            </w:tcBorders>
          </w:tcPr>
          <w:p>
            <w:pPr>
              <w:spacing w:after="0"/>
            </w:pPr>
            <w:r>
              <w:rPr>
                <w:color w:val="2B2228"/>
                <w:sz w:val="17"/>
              </w:rPr>
              <w:t>Directo, accionable.</w:t>
            </w:r>
          </w:p>
        </w:tc>
      </w:tr>
      <w:tr>
        <w:tc>
          <w:tcPr>
            <w:tcW w:type="dxa" w:w="3389"/>
            <w:shd w:fill="F2E9E2"/>
            <w:vAlign w:val="center"/>
            <w:tcBorders>
              <w:bottom w:val="single" w:sz="4" w:color="E2D4CF"/>
            </w:tcBorders>
          </w:tcPr>
          <w:p>
            <w:pPr>
              <w:spacing w:after="0"/>
            </w:pPr>
            <w:r>
              <w:rPr>
                <w:color w:val="2B2228"/>
                <w:sz w:val="17"/>
              </w:rPr>
              <w:t>Insight</w:t>
            </w:r>
          </w:p>
        </w:tc>
        <w:tc>
          <w:tcPr>
            <w:tcW w:type="dxa" w:w="3389"/>
            <w:shd w:fill="F2E9E2"/>
            <w:vAlign w:val="center"/>
            <w:tcBorders>
              <w:bottom w:val="single" w:sz="4" w:color="E2D4CF"/>
            </w:tcBorders>
          </w:tcPr>
          <w:p>
            <w:pPr>
              <w:spacing w:after="0"/>
            </w:pPr>
            <w:r>
              <w:rPr>
                <w:color w:val="2B2228"/>
                <w:sz w:val="17"/>
              </w:rPr>
              <w:t>“Encontré un patrón que vale la pena mirar.”</w:t>
            </w:r>
          </w:p>
        </w:tc>
        <w:tc>
          <w:tcPr>
            <w:tcW w:type="dxa" w:w="3389"/>
            <w:shd w:fill="F2E9E2"/>
            <w:vAlign w:val="center"/>
            <w:tcBorders>
              <w:bottom w:val="single" w:sz="4" w:color="E2D4CF"/>
            </w:tcBorders>
          </w:tcPr>
          <w:p>
            <w:pPr>
              <w:spacing w:after="0"/>
            </w:pPr>
            <w:r>
              <w:rPr>
                <w:color w:val="2B2228"/>
                <w:sz w:val="17"/>
              </w:rPr>
              <w:t>Explica señales y contexto.</w:t>
            </w:r>
          </w:p>
        </w:tc>
      </w:tr>
      <w:tr>
        <w:tc>
          <w:tcPr>
            <w:tcW w:type="dxa" w:w="3389"/>
            <w:shd w:fill="F7F1ED"/>
            <w:vAlign w:val="center"/>
            <w:tcBorders>
              <w:bottom w:val="single" w:sz="4" w:color="E2D4CF"/>
            </w:tcBorders>
          </w:tcPr>
          <w:p>
            <w:pPr>
              <w:spacing w:after="0"/>
            </w:pPr>
            <w:r>
              <w:rPr>
                <w:color w:val="2B2228"/>
                <w:sz w:val="17"/>
              </w:rPr>
              <w:t>Conversation invitation</w:t>
            </w:r>
          </w:p>
        </w:tc>
        <w:tc>
          <w:tcPr>
            <w:tcW w:type="dxa" w:w="3389"/>
            <w:shd w:fill="F7F1ED"/>
            <w:vAlign w:val="center"/>
            <w:tcBorders>
              <w:bottom w:val="single" w:sz="4" w:color="E2D4CF"/>
            </w:tcBorders>
          </w:tcPr>
          <w:p>
            <w:pPr>
              <w:spacing w:after="0"/>
            </w:pPr>
            <w:r>
              <w:rPr>
                <w:color w:val="2B2228"/>
                <w:sz w:val="17"/>
              </w:rPr>
              <w:t>“¿Platicamos? Hay algo de estas últimas semanas que quiero revisar contigo.”</w:t>
            </w:r>
          </w:p>
        </w:tc>
        <w:tc>
          <w:tcPr>
            <w:tcW w:type="dxa" w:w="3389"/>
            <w:shd w:fill="F7F1ED"/>
            <w:vAlign w:val="center"/>
            <w:tcBorders>
              <w:bottom w:val="single" w:sz="4" w:color="E2D4CF"/>
            </w:tcBorders>
          </w:tcPr>
          <w:p>
            <w:pPr>
              <w:spacing w:after="0"/>
            </w:pPr>
            <w:r>
              <w:rPr>
                <w:color w:val="2B2228"/>
                <w:sz w:val="17"/>
              </w:rPr>
              <w:t>Invita sin alarmar ni diagnosticar.</w:t>
            </w:r>
          </w:p>
        </w:tc>
      </w:tr>
      <w:tr>
        <w:tc>
          <w:tcPr>
            <w:tcW w:type="dxa" w:w="3389"/>
            <w:shd w:fill="F2E9E2"/>
            <w:vAlign w:val="center"/>
            <w:tcBorders>
              <w:bottom w:val="single" w:sz="4" w:color="E2D4CF"/>
            </w:tcBorders>
          </w:tcPr>
          <w:p>
            <w:pPr>
              <w:spacing w:after="0"/>
            </w:pPr>
            <w:r>
              <w:rPr>
                <w:color w:val="2B2228"/>
                <w:sz w:val="17"/>
              </w:rPr>
              <w:t>Action proposal</w:t>
            </w:r>
          </w:p>
        </w:tc>
        <w:tc>
          <w:tcPr>
            <w:tcW w:type="dxa" w:w="3389"/>
            <w:shd w:fill="F2E9E2"/>
            <w:vAlign w:val="center"/>
            <w:tcBorders>
              <w:bottom w:val="single" w:sz="4" w:color="E2D4CF"/>
            </w:tcBorders>
          </w:tcPr>
          <w:p>
            <w:pPr>
              <w:spacing w:after="0"/>
            </w:pPr>
            <w:r>
              <w:rPr>
                <w:color w:val="2B2228"/>
                <w:sz w:val="17"/>
              </w:rPr>
              <w:t>“Puedo mover tres pendientes para descargarte mañana.”</w:t>
            </w:r>
          </w:p>
        </w:tc>
        <w:tc>
          <w:tcPr>
            <w:tcW w:type="dxa" w:w="3389"/>
            <w:shd w:fill="F2E9E2"/>
            <w:vAlign w:val="center"/>
            <w:tcBorders>
              <w:bottom w:val="single" w:sz="4" w:color="E2D4CF"/>
            </w:tcBorders>
          </w:tcPr>
          <w:p>
            <w:pPr>
              <w:spacing w:after="0"/>
            </w:pPr>
            <w:r>
              <w:rPr>
                <w:color w:val="2B2228"/>
                <w:sz w:val="17"/>
              </w:rPr>
              <w:t>CTA para ejecutar.</w:t>
            </w:r>
          </w:p>
        </w:tc>
      </w:tr>
      <w:tr>
        <w:tc>
          <w:tcPr>
            <w:tcW w:type="dxa" w:w="3389"/>
            <w:shd w:fill="F7F1ED"/>
            <w:vAlign w:val="center"/>
            <w:tcBorders>
              <w:bottom w:val="single" w:sz="4" w:color="E2D4CF"/>
            </w:tcBorders>
          </w:tcPr>
          <w:p>
            <w:pPr>
              <w:spacing w:after="0"/>
            </w:pPr>
            <w:r>
              <w:rPr>
                <w:color w:val="2B2228"/>
                <w:sz w:val="17"/>
              </w:rPr>
              <w:t>Safety intervention</w:t>
            </w:r>
          </w:p>
        </w:tc>
        <w:tc>
          <w:tcPr>
            <w:tcW w:type="dxa" w:w="3389"/>
            <w:shd w:fill="F7F1ED"/>
            <w:vAlign w:val="center"/>
            <w:tcBorders>
              <w:bottom w:val="single" w:sz="4" w:color="E2D4CF"/>
            </w:tcBorders>
          </w:tcPr>
          <w:p>
            <w:pPr>
              <w:spacing w:after="0"/>
            </w:pPr>
            <w:r>
              <w:rPr>
                <w:color w:val="2B2228"/>
                <w:sz w:val="17"/>
              </w:rPr>
              <w:t>Señal de riesgo importante.</w:t>
            </w:r>
          </w:p>
        </w:tc>
        <w:tc>
          <w:tcPr>
            <w:tcW w:type="dxa" w:w="3389"/>
            <w:shd w:fill="F7F1ED"/>
            <w:vAlign w:val="center"/>
            <w:tcBorders>
              <w:bottom w:val="single" w:sz="4" w:color="E2D4CF"/>
            </w:tcBorders>
          </w:tcPr>
          <w:p>
            <w:pPr>
              <w:spacing w:after="0"/>
            </w:pPr>
            <w:r>
              <w:rPr>
                <w:color w:val="2B2228"/>
                <w:sz w:val="17"/>
              </w:rPr>
              <w:t>Cambia a protocolo de seguridad y recursos adecuados.</w:t>
            </w:r>
          </w:p>
        </w:tc>
      </w:tr>
    </w:tbl>
    <w:p>
      <w:pPr>
        <w:spacing w:after="40"/>
      </w:pPr>
    </w:p>
    <w:p>
      <w:pPr>
        <w:pStyle w:val="Heading1"/>
      </w:pPr>
      <w:r>
        <w:t>14. Life Graph: núcleo de contexto</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Ejemplo: “mi mamá” debe ser una entidad relacionada con citas, documentos, responsabilidades, gastos y caregiving; no una cadena de texto perdida en notas.</w:t>
            </w:r>
          </w:p>
        </w:tc>
      </w:tr>
    </w:tbl>
    <w:p>
      <w:pPr>
        <w:spacing w:after="20"/>
      </w:pPr>
    </w:p>
    <w:p>
      <w:pPr>
        <w:keepLines w:val="0"/>
      </w:pPr>
      <w:r>
        <w:t>El Life Graph representa entidades y relaciones de la vida. Es el fundamento para contexto, búsqueda, correlaciones y ejecución. No requiere una graph database en V1; puede modelarse sobre PostgreSQL con relaciones explícitas y temporalidad.</w:t>
      </w:r>
    </w:p>
    <w:p>
      <w:pPr>
        <w:pStyle w:val="ListBullet"/>
        <w:spacing w:after="50"/>
        <w:ind w:left="317" w:hanging="173"/>
      </w:pPr>
      <w:r>
        <w:rPr>
          <w:color w:val="2B2228"/>
          <w:sz w:val="18"/>
        </w:rPr>
        <w:t>Woman/User</w:t>
      </w:r>
    </w:p>
    <w:p>
      <w:pPr>
        <w:pStyle w:val="ListBullet"/>
        <w:spacing w:after="50"/>
        <w:ind w:left="317" w:hanging="173"/>
      </w:pPr>
      <w:r>
        <w:rPr>
          <w:color w:val="2B2228"/>
          <w:sz w:val="18"/>
        </w:rPr>
        <w:t>Person</w:t>
      </w:r>
    </w:p>
    <w:p>
      <w:pPr>
        <w:pStyle w:val="ListBullet"/>
        <w:spacing w:after="50"/>
        <w:ind w:left="317" w:hanging="173"/>
      </w:pPr>
      <w:r>
        <w:rPr>
          <w:color w:val="2B2228"/>
          <w:sz w:val="18"/>
        </w:rPr>
        <w:t>Relationship</w:t>
      </w:r>
    </w:p>
    <w:p>
      <w:pPr>
        <w:pStyle w:val="ListBullet"/>
        <w:spacing w:after="50"/>
        <w:ind w:left="317" w:hanging="173"/>
      </w:pPr>
      <w:r>
        <w:rPr>
          <w:color w:val="2B2228"/>
          <w:sz w:val="18"/>
        </w:rPr>
        <w:t>Event</w:t>
      </w:r>
    </w:p>
    <w:p>
      <w:pPr>
        <w:pStyle w:val="ListBullet"/>
        <w:spacing w:after="50"/>
        <w:ind w:left="317" w:hanging="173"/>
      </w:pPr>
      <w:r>
        <w:rPr>
          <w:color w:val="2B2228"/>
          <w:sz w:val="18"/>
        </w:rPr>
        <w:t>Task</w:t>
      </w:r>
    </w:p>
    <w:p>
      <w:pPr>
        <w:pStyle w:val="ListBullet"/>
        <w:spacing w:after="50"/>
        <w:ind w:left="317" w:hanging="173"/>
      </w:pPr>
      <w:r>
        <w:rPr>
          <w:color w:val="2B2228"/>
          <w:sz w:val="18"/>
        </w:rPr>
        <w:t>Responsibility</w:t>
      </w:r>
    </w:p>
    <w:p>
      <w:pPr>
        <w:pStyle w:val="ListBullet"/>
        <w:spacing w:after="50"/>
        <w:ind w:left="317" w:hanging="173"/>
      </w:pPr>
      <w:r>
        <w:rPr>
          <w:color w:val="2B2228"/>
          <w:sz w:val="18"/>
        </w:rPr>
        <w:t>Goal</w:t>
      </w:r>
    </w:p>
    <w:p>
      <w:pPr>
        <w:pStyle w:val="ListBullet"/>
        <w:spacing w:after="50"/>
        <w:ind w:left="317" w:hanging="173"/>
      </w:pPr>
      <w:r>
        <w:rPr>
          <w:color w:val="2B2228"/>
          <w:sz w:val="18"/>
        </w:rPr>
        <w:t>Project</w:t>
      </w:r>
    </w:p>
    <w:p>
      <w:pPr>
        <w:pStyle w:val="ListBullet"/>
        <w:spacing w:after="50"/>
        <w:ind w:left="317" w:hanging="173"/>
      </w:pPr>
      <w:r>
        <w:rPr>
          <w:color w:val="2B2228"/>
          <w:sz w:val="18"/>
        </w:rPr>
        <w:t>Place</w:t>
      </w:r>
    </w:p>
    <w:p>
      <w:pPr>
        <w:pStyle w:val="ListBullet"/>
        <w:spacing w:after="50"/>
        <w:ind w:left="317" w:hanging="173"/>
      </w:pPr>
      <w:r>
        <w:rPr>
          <w:color w:val="2B2228"/>
          <w:sz w:val="18"/>
        </w:rPr>
        <w:t>Routine</w:t>
      </w:r>
    </w:p>
    <w:p>
      <w:pPr>
        <w:pStyle w:val="ListBullet"/>
        <w:spacing w:after="50"/>
        <w:ind w:left="317" w:hanging="173"/>
      </w:pPr>
      <w:r>
        <w:rPr>
          <w:color w:val="2B2228"/>
          <w:sz w:val="18"/>
        </w:rPr>
        <w:t>Document</w:t>
      </w:r>
    </w:p>
    <w:p>
      <w:pPr>
        <w:pStyle w:val="ListBullet"/>
        <w:spacing w:after="50"/>
        <w:ind w:left="317" w:hanging="173"/>
      </w:pPr>
      <w:r>
        <w:rPr>
          <w:color w:val="2B2228"/>
          <w:sz w:val="18"/>
        </w:rPr>
        <w:t>Account</w:t>
      </w:r>
    </w:p>
    <w:p>
      <w:pPr>
        <w:pStyle w:val="ListBullet"/>
        <w:spacing w:after="50"/>
        <w:ind w:left="317" w:hanging="173"/>
      </w:pPr>
      <w:r>
        <w:rPr>
          <w:color w:val="2B2228"/>
          <w:sz w:val="18"/>
        </w:rPr>
        <w:t>FinancialEvent</w:t>
      </w:r>
    </w:p>
    <w:p>
      <w:pPr>
        <w:pStyle w:val="ListBullet"/>
        <w:spacing w:after="50"/>
        <w:ind w:left="317" w:hanging="173"/>
      </w:pPr>
      <w:r>
        <w:rPr>
          <w:color w:val="2B2228"/>
          <w:sz w:val="18"/>
        </w:rPr>
        <w:t>Bill</w:t>
      </w:r>
    </w:p>
    <w:p>
      <w:pPr>
        <w:pStyle w:val="ListBullet"/>
        <w:spacing w:after="50"/>
        <w:ind w:left="317" w:hanging="173"/>
      </w:pPr>
      <w:r>
        <w:rPr>
          <w:color w:val="2B2228"/>
          <w:sz w:val="18"/>
        </w:rPr>
        <w:t>Subscription</w:t>
      </w:r>
    </w:p>
    <w:p>
      <w:pPr>
        <w:pStyle w:val="ListBullet"/>
        <w:spacing w:after="50"/>
        <w:ind w:left="317" w:hanging="173"/>
      </w:pPr>
      <w:r>
        <w:rPr>
          <w:color w:val="2B2228"/>
          <w:sz w:val="18"/>
        </w:rPr>
        <w:t>HealthObservation</w:t>
      </w:r>
    </w:p>
    <w:p>
      <w:pPr>
        <w:pStyle w:val="ListBullet"/>
        <w:spacing w:after="50"/>
        <w:ind w:left="317" w:hanging="173"/>
      </w:pPr>
      <w:r>
        <w:rPr>
          <w:color w:val="2B2228"/>
          <w:sz w:val="18"/>
        </w:rPr>
        <w:t>Symptom</w:t>
      </w:r>
    </w:p>
    <w:p>
      <w:pPr>
        <w:pStyle w:val="ListBullet"/>
        <w:spacing w:after="50"/>
        <w:ind w:left="317" w:hanging="173"/>
      </w:pPr>
      <w:r>
        <w:rPr>
          <w:color w:val="2B2228"/>
          <w:sz w:val="18"/>
        </w:rPr>
        <w:t>MedicationRecord</w:t>
      </w:r>
    </w:p>
    <w:p>
      <w:pPr>
        <w:pStyle w:val="ListBullet"/>
        <w:spacing w:after="50"/>
        <w:ind w:left="317" w:hanging="173"/>
      </w:pPr>
      <w:r>
        <w:rPr>
          <w:color w:val="2B2228"/>
          <w:sz w:val="18"/>
        </w:rPr>
        <w:t>StudyRecord</w:t>
      </w:r>
    </w:p>
    <w:p>
      <w:pPr>
        <w:pStyle w:val="ListBullet"/>
        <w:spacing w:after="50"/>
        <w:ind w:left="317" w:hanging="173"/>
      </w:pPr>
      <w:r>
        <w:rPr>
          <w:color w:val="2B2228"/>
          <w:sz w:val="18"/>
        </w:rPr>
        <w:t>FoodEvent</w:t>
      </w:r>
    </w:p>
    <w:p>
      <w:pPr>
        <w:pStyle w:val="ListBullet"/>
        <w:spacing w:after="50"/>
        <w:ind w:left="317" w:hanging="173"/>
      </w:pPr>
      <w:r>
        <w:rPr>
          <w:color w:val="2B2228"/>
          <w:sz w:val="18"/>
        </w:rPr>
        <w:t>Activity</w:t>
      </w:r>
    </w:p>
    <w:p>
      <w:pPr>
        <w:pStyle w:val="ListBullet"/>
        <w:spacing w:after="50"/>
        <w:ind w:left="317" w:hanging="173"/>
      </w:pPr>
      <w:r>
        <w:rPr>
          <w:color w:val="2B2228"/>
          <w:sz w:val="18"/>
        </w:rPr>
        <w:t>SleepEvent</w:t>
      </w:r>
    </w:p>
    <w:p>
      <w:pPr>
        <w:pStyle w:val="ListBullet"/>
        <w:spacing w:after="50"/>
        <w:ind w:left="317" w:hanging="173"/>
      </w:pPr>
      <w:r>
        <w:rPr>
          <w:color w:val="2B2228"/>
          <w:sz w:val="18"/>
        </w:rPr>
        <w:t>EmotionObservation</w:t>
      </w:r>
    </w:p>
    <w:p>
      <w:pPr>
        <w:pStyle w:val="ListBullet"/>
        <w:spacing w:after="50"/>
        <w:ind w:left="317" w:hanging="173"/>
      </w:pPr>
      <w:r>
        <w:rPr>
          <w:color w:val="2B2228"/>
          <w:sz w:val="18"/>
        </w:rPr>
        <w:t>ConversationMemory</w:t>
      </w:r>
    </w:p>
    <w:p>
      <w:pPr>
        <w:pStyle w:val="ListBullet"/>
        <w:spacing w:after="50"/>
        <w:ind w:left="317" w:hanging="173"/>
      </w:pPr>
      <w:r>
        <w:rPr>
          <w:color w:val="2B2228"/>
          <w:sz w:val="18"/>
        </w:rPr>
        <w:t>Preference</w:t>
      </w:r>
    </w:p>
    <w:p>
      <w:pPr>
        <w:pStyle w:val="ListBullet"/>
        <w:spacing w:after="50"/>
        <w:ind w:left="317" w:hanging="173"/>
      </w:pPr>
      <w:r>
        <w:rPr>
          <w:color w:val="2B2228"/>
          <w:sz w:val="18"/>
        </w:rPr>
        <w:t>Consent</w:t>
      </w:r>
    </w:p>
    <w:p>
      <w:pPr>
        <w:pStyle w:val="ListBullet"/>
        <w:spacing w:after="50"/>
        <w:ind w:left="317" w:hanging="173"/>
      </w:pPr>
      <w:r>
        <w:rPr>
          <w:color w:val="2B2228"/>
          <w:sz w:val="18"/>
        </w:rPr>
        <w:t>Notification</w:t>
      </w:r>
    </w:p>
    <w:p>
      <w:pPr>
        <w:pStyle w:val="ListBullet"/>
        <w:spacing w:after="50"/>
        <w:ind w:left="317" w:hanging="173"/>
      </w:pPr>
      <w:r>
        <w:rPr>
          <w:color w:val="2B2228"/>
          <w:sz w:val="18"/>
        </w:rPr>
        <w:t>ExternalConnection</w:t>
      </w:r>
    </w:p>
    <w:p>
      <w:pPr>
        <w:pStyle w:val="Heading1"/>
      </w:pPr>
      <w:r>
        <w:t>15. Datos longitudinales, memoria y RAG</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BEMARA debe almacenar eventos con fecha, origen, contexto y permisos. La meta es poder reconstruir la película de la vida, no sólo el estado actual.</w:t>
      </w:r>
    </w:p>
    <w:p>
      <w:pPr>
        <w:pStyle w:val="ListBullet"/>
        <w:spacing w:after="50"/>
        <w:ind w:left="317" w:hanging="173"/>
      </w:pPr>
      <w:r>
        <w:rPr>
          <w:color w:val="2B2228"/>
          <w:sz w:val="18"/>
        </w:rPr>
        <w:t>Working Memory: contexto de conversación actual.</w:t>
      </w:r>
    </w:p>
    <w:p>
      <w:pPr>
        <w:pStyle w:val="ListBullet"/>
        <w:spacing w:after="50"/>
        <w:ind w:left="317" w:hanging="173"/>
      </w:pPr>
      <w:r>
        <w:rPr>
          <w:color w:val="2B2228"/>
          <w:sz w:val="18"/>
        </w:rPr>
        <w:t>Personal Memory: hechos autorizados para recordar.</w:t>
      </w:r>
    </w:p>
    <w:p>
      <w:pPr>
        <w:pStyle w:val="ListBullet"/>
        <w:spacing w:after="50"/>
        <w:ind w:left="317" w:hanging="173"/>
      </w:pPr>
      <w:r>
        <w:rPr>
          <w:color w:val="2B2228"/>
          <w:sz w:val="18"/>
        </w:rPr>
        <w:t>Structured Memory: información normalizada del Life Graph.</w:t>
      </w:r>
    </w:p>
    <w:p>
      <w:pPr>
        <w:pStyle w:val="ListBullet"/>
        <w:spacing w:after="50"/>
        <w:ind w:left="317" w:hanging="173"/>
      </w:pPr>
      <w:r>
        <w:rPr>
          <w:color w:val="2B2228"/>
          <w:sz w:val="18"/>
        </w:rPr>
        <w:t>Episodic Memory: eventos relevantes de vida.</w:t>
      </w:r>
    </w:p>
    <w:p>
      <w:pPr>
        <w:pStyle w:val="ListBullet"/>
        <w:spacing w:after="50"/>
        <w:ind w:left="317" w:hanging="173"/>
      </w:pPr>
      <w:r>
        <w:rPr>
          <w:color w:val="2B2228"/>
          <w:sz w:val="18"/>
        </w:rPr>
        <w:t>Preferences: estilo, prioridades y configuración.</w:t>
      </w:r>
    </w:p>
    <w:p>
      <w:pPr>
        <w:pStyle w:val="ListBullet"/>
        <w:spacing w:after="50"/>
        <w:ind w:left="317" w:hanging="173"/>
      </w:pPr>
      <w:r>
        <w:rPr>
          <w:color w:val="2B2228"/>
          <w:sz w:val="18"/>
        </w:rPr>
        <w:t>Sensitive Memory: controles y consentimiento adicional.</w:t>
      </w:r>
    </w:p>
    <w:p>
      <w:pPr>
        <w:pStyle w:val="ListBullet"/>
        <w:spacing w:after="50"/>
        <w:ind w:left="317" w:hanging="173"/>
      </w:pPr>
      <w:r>
        <w:rPr>
          <w:color w:val="2B2228"/>
          <w:sz w:val="18"/>
        </w:rPr>
        <w:t>RAG/semantic search: embeddings + pgvector para recuperar únicamente el contexto necesario.</w:t>
      </w:r>
    </w:p>
    <w:p>
      <w:pPr>
        <w:pStyle w:val="ListBullet"/>
        <w:spacing w:after="50"/>
        <w:ind w:left="317" w:hanging="173"/>
      </w:pPr>
      <w:r>
        <w:rPr>
          <w:color w:val="2B2228"/>
          <w:sz w:val="18"/>
        </w:rPr>
        <w:t>“Olvida esto” debe ejecutar borrado real en las capas correspondientes, sujeto a retención legal/técnica documentada.</w:t>
      </w:r>
    </w:p>
    <w:p>
      <w:pPr>
        <w:pStyle w:val="Heading1"/>
      </w:pPr>
      <w:r>
        <w:t>16. Big Data, correlaciones y predicción</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BEMARA se diseña para predicción desde el inicio, pero no se finge Big Data antes de tenerlo. El orden correcto es Personal Baseline → modelos longitudinales → cohortes anonimizadas → Population Intelligence cuando exista volumen y consentimiento.</w:t>
      </w:r>
    </w:p>
    <w:p>
      <w:pPr>
        <w:pStyle w:val="ListBullet"/>
        <w:spacing w:after="50"/>
        <w:ind w:left="317" w:hanging="173"/>
      </w:pPr>
      <w:r>
        <w:rPr>
          <w:color w:val="2B2228"/>
          <w:sz w:val="18"/>
        </w:rPr>
        <w:t>Fórmula de producto: Datos → Patrón → Predicción → Explicación → Acción.</w:t>
      </w:r>
    </w:p>
    <w:p>
      <w:pPr>
        <w:pStyle w:val="ListBullet"/>
        <w:spacing w:after="50"/>
        <w:ind w:left="317" w:hanging="173"/>
      </w:pPr>
      <w:r>
        <w:rPr>
          <w:color w:val="2B2228"/>
          <w:sz w:val="18"/>
        </w:rPr>
        <w:t>Mostrar confianza/incertidumbre cuando sea relevante.</w:t>
      </w:r>
    </w:p>
    <w:p>
      <w:pPr>
        <w:pStyle w:val="ListBullet"/>
        <w:spacing w:after="50"/>
        <w:ind w:left="317" w:hanging="173"/>
      </w:pPr>
      <w:r>
        <w:rPr>
          <w:color w:val="2B2228"/>
          <w:sz w:val="18"/>
        </w:rPr>
        <w:t>Correlación no implica causalidad.</w:t>
      </w:r>
    </w:p>
    <w:p>
      <w:pPr>
        <w:pStyle w:val="ListBullet"/>
        <w:spacing w:after="50"/>
        <w:ind w:left="317" w:hanging="173"/>
      </w:pPr>
      <w:r>
        <w:rPr>
          <w:color w:val="2B2228"/>
          <w:sz w:val="18"/>
        </w:rPr>
        <w:t>Predicción de bienestar no equivale a diagnóstico médico.</w:t>
      </w:r>
    </w:p>
    <w:p>
      <w:pPr>
        <w:pStyle w:val="ListBullet"/>
        <w:spacing w:after="50"/>
        <w:ind w:left="317" w:hanging="173"/>
      </w:pPr>
      <w:r>
        <w:rPr>
          <w:color w:val="2B2228"/>
          <w:sz w:val="18"/>
        </w:rPr>
        <w:t>Las decisiones que puedan afectar significativamente derechos/intereses no deben descansar de forma opaca en automatización sin controles.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241820"/>
            <w:vAlign w:val="center"/>
          </w:tcPr>
          <w:p>
            <w:r>
              <w:rPr>
                <w:b/>
                <w:color w:val="FFFFFF"/>
                <w:sz w:val="17"/>
              </w:rPr>
              <w:t>Capa</w:t>
            </w:r>
          </w:p>
        </w:tc>
        <w:tc>
          <w:tcPr>
            <w:tcW w:type="dxa" w:w="5083"/>
            <w:shd w:fill="241820"/>
            <w:vAlign w:val="center"/>
          </w:tcPr>
          <w:p>
            <w:r>
              <w:rPr>
                <w:b/>
                <w:color w:val="FFFFFF"/>
                <w:sz w:val="17"/>
              </w:rPr>
              <w:t>Uso</w:t>
            </w:r>
          </w:p>
        </w:tc>
      </w:tr>
      <w:tr>
        <w:tc>
          <w:tcPr>
            <w:tcW w:type="dxa" w:w="5083"/>
            <w:shd w:fill="F7F1ED"/>
            <w:vAlign w:val="center"/>
            <w:tcBorders>
              <w:bottom w:val="single" w:sz="4" w:color="E2D4CF"/>
            </w:tcBorders>
          </w:tcPr>
          <w:p>
            <w:pPr>
              <w:spacing w:after="0"/>
            </w:pPr>
            <w:r>
              <w:rPr>
                <w:color w:val="2B2228"/>
                <w:sz w:val="17"/>
              </w:rPr>
              <w:t>Estadística</w:t>
            </w:r>
          </w:p>
        </w:tc>
        <w:tc>
          <w:tcPr>
            <w:tcW w:type="dxa" w:w="5083"/>
            <w:shd w:fill="F7F1ED"/>
            <w:vAlign w:val="center"/>
            <w:tcBorders>
              <w:bottom w:val="single" w:sz="4" w:color="E2D4CF"/>
            </w:tcBorders>
          </w:tcPr>
          <w:p>
            <w:pPr>
              <w:spacing w:after="0"/>
            </w:pPr>
            <w:r>
              <w:rPr>
                <w:color w:val="2B2228"/>
                <w:sz w:val="17"/>
              </w:rPr>
              <w:t>Baselines, tendencias, dispersión, correlaciones.</w:t>
            </w:r>
          </w:p>
        </w:tc>
      </w:tr>
      <w:tr>
        <w:tc>
          <w:tcPr>
            <w:tcW w:type="dxa" w:w="5083"/>
            <w:shd w:fill="F2E9E2"/>
            <w:vAlign w:val="center"/>
            <w:tcBorders>
              <w:bottom w:val="single" w:sz="4" w:color="E2D4CF"/>
            </w:tcBorders>
          </w:tcPr>
          <w:p>
            <w:pPr>
              <w:spacing w:after="0"/>
            </w:pPr>
            <w:r>
              <w:rPr>
                <w:color w:val="2B2228"/>
                <w:sz w:val="17"/>
              </w:rPr>
              <w:t>Time series</w:t>
            </w:r>
          </w:p>
        </w:tc>
        <w:tc>
          <w:tcPr>
            <w:tcW w:type="dxa" w:w="5083"/>
            <w:shd w:fill="F2E9E2"/>
            <w:vAlign w:val="center"/>
            <w:tcBorders>
              <w:bottom w:val="single" w:sz="4" w:color="E2D4CF"/>
            </w:tcBorders>
          </w:tcPr>
          <w:p>
            <w:pPr>
              <w:spacing w:after="0"/>
            </w:pPr>
            <w:r>
              <w:rPr>
                <w:color w:val="2B2228"/>
                <w:sz w:val="17"/>
              </w:rPr>
              <w:t>Cambios y patrones temporales.</w:t>
            </w:r>
          </w:p>
        </w:tc>
      </w:tr>
      <w:tr>
        <w:tc>
          <w:tcPr>
            <w:tcW w:type="dxa" w:w="5083"/>
            <w:shd w:fill="F7F1ED"/>
            <w:vAlign w:val="center"/>
            <w:tcBorders>
              <w:bottom w:val="single" w:sz="4" w:color="E2D4CF"/>
            </w:tcBorders>
          </w:tcPr>
          <w:p>
            <w:pPr>
              <w:spacing w:after="0"/>
            </w:pPr>
            <w:r>
              <w:rPr>
                <w:color w:val="2B2228"/>
                <w:sz w:val="17"/>
              </w:rPr>
              <w:t>ML</w:t>
            </w:r>
          </w:p>
        </w:tc>
        <w:tc>
          <w:tcPr>
            <w:tcW w:type="dxa" w:w="5083"/>
            <w:shd w:fill="F7F1ED"/>
            <w:vAlign w:val="center"/>
            <w:tcBorders>
              <w:bottom w:val="single" w:sz="4" w:color="E2D4CF"/>
            </w:tcBorders>
          </w:tcPr>
          <w:p>
            <w:pPr>
              <w:spacing w:after="0"/>
            </w:pPr>
            <w:r>
              <w:rPr>
                <w:color w:val="2B2228"/>
                <w:sz w:val="17"/>
              </w:rPr>
              <w:t>Modelos predictivos cuando el dataset y validación lo justifiquen.</w:t>
            </w:r>
          </w:p>
        </w:tc>
      </w:tr>
      <w:tr>
        <w:tc>
          <w:tcPr>
            <w:tcW w:type="dxa" w:w="5083"/>
            <w:shd w:fill="F2E9E2"/>
            <w:vAlign w:val="center"/>
            <w:tcBorders>
              <w:bottom w:val="single" w:sz="4" w:color="E2D4CF"/>
            </w:tcBorders>
          </w:tcPr>
          <w:p>
            <w:pPr>
              <w:spacing w:after="0"/>
            </w:pPr>
            <w:r>
              <w:rPr>
                <w:color w:val="2B2228"/>
                <w:sz w:val="17"/>
              </w:rPr>
              <w:t>Population models</w:t>
            </w:r>
          </w:p>
        </w:tc>
        <w:tc>
          <w:tcPr>
            <w:tcW w:type="dxa" w:w="5083"/>
            <w:shd w:fill="F2E9E2"/>
            <w:vAlign w:val="center"/>
            <w:tcBorders>
              <w:bottom w:val="single" w:sz="4" w:color="E2D4CF"/>
            </w:tcBorders>
          </w:tcPr>
          <w:p>
            <w:pPr>
              <w:spacing w:after="0"/>
            </w:pPr>
            <w:r>
              <w:rPr>
                <w:color w:val="2B2228"/>
                <w:sz w:val="17"/>
              </w:rPr>
              <w:t>Comparación anónima por cohortes, sólo con masa crítica y privacidad.</w:t>
            </w:r>
          </w:p>
        </w:tc>
      </w:tr>
      <w:tr>
        <w:tc>
          <w:tcPr>
            <w:tcW w:type="dxa" w:w="5083"/>
            <w:shd w:fill="F7F1ED"/>
            <w:vAlign w:val="center"/>
            <w:tcBorders>
              <w:bottom w:val="single" w:sz="4" w:color="E2D4CF"/>
            </w:tcBorders>
          </w:tcPr>
          <w:p>
            <w:pPr>
              <w:spacing w:after="0"/>
            </w:pPr>
            <w:r>
              <w:rPr>
                <w:color w:val="2B2228"/>
                <w:sz w:val="17"/>
              </w:rPr>
              <w:t>LLM reasoning</w:t>
            </w:r>
          </w:p>
        </w:tc>
        <w:tc>
          <w:tcPr>
            <w:tcW w:type="dxa" w:w="5083"/>
            <w:shd w:fill="F7F1ED"/>
            <w:vAlign w:val="center"/>
            <w:tcBorders>
              <w:bottom w:val="single" w:sz="4" w:color="E2D4CF"/>
            </w:tcBorders>
          </w:tcPr>
          <w:p>
            <w:pPr>
              <w:spacing w:after="0"/>
            </w:pPr>
            <w:r>
              <w:rPr>
                <w:color w:val="2B2228"/>
                <w:sz w:val="17"/>
              </w:rPr>
              <w:t>Explicar resultados, contextualizar y proponer acciones; no inventar la predicción.</w:t>
            </w:r>
          </w:p>
        </w:tc>
      </w:tr>
    </w:tbl>
    <w:p>
      <w:pPr>
        <w:spacing w:after="40"/>
      </w:pPr>
    </w:p>
    <w:p>
      <w:pPr>
        <w:pStyle w:val="Heading1"/>
      </w:pPr>
      <w:r>
        <w:t>17. Bilingual Mode / aprendizaje contextual</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BEMARA es bilingüe desde arquitectura: es-MX y en-US en lanzamiento. El modo bilingüe es opcional y puede ayudar a la usuaria a aprender inglés dentro de situaciones reales de su vida.</w:t>
      </w:r>
    </w:p>
    <w:p>
      <w:pPr>
        <w:keepLines w:val="0"/>
      </w:pPr>
      <w:r>
        <w:t>No se duplicará toda la UI permanentemente. El segundo idioma aparece de forma contextual: labels secundarios opcionales, tap-to-translate, explicaciones, práctica con LENA y corrección suave si la usuaria la pide.</w:t>
      </w:r>
    </w:p>
    <w:p>
      <w:pPr>
        <w:pStyle w:val="ListBullet"/>
        <w:spacing w:after="50"/>
        <w:ind w:left="317" w:hanging="173"/>
      </w:pPr>
      <w:r>
        <w:rPr>
          <w:color w:val="2B2228"/>
          <w:sz w:val="18"/>
        </w:rPr>
        <w:t>LENA puede conversar y cambiar entre español/inglés en la misma sesión.</w:t>
      </w:r>
    </w:p>
    <w:p>
      <w:pPr>
        <w:pStyle w:val="ListBullet"/>
        <w:spacing w:after="50"/>
        <w:ind w:left="317" w:hanging="173"/>
      </w:pPr>
      <w:r>
        <w:rPr>
          <w:color w:val="2B2228"/>
          <w:sz w:val="18"/>
        </w:rPr>
        <w:t>Puede preparar emails, entrevistas, reuniones y mensajes en ambos idiomas.</w:t>
      </w:r>
    </w:p>
    <w:p>
      <w:pPr>
        <w:pStyle w:val="ListBullet"/>
        <w:spacing w:after="50"/>
        <w:ind w:left="317" w:hanging="173"/>
      </w:pPr>
      <w:r>
        <w:rPr>
          <w:color w:val="2B2228"/>
          <w:sz w:val="18"/>
        </w:rPr>
        <w:t>En salud, seguridad, consentimiento y legal se prioriza comprensión absoluta en el idioma principal.</w:t>
      </w:r>
    </w:p>
    <w:p>
      <w:pPr>
        <w:pStyle w:val="ListBullet"/>
        <w:spacing w:after="50"/>
        <w:ind w:left="317" w:hanging="173"/>
      </w:pPr>
      <w:r>
        <w:rPr>
          <w:color w:val="2B2228"/>
          <w:sz w:val="18"/>
        </w:rPr>
        <w:t>Todo texto de interfaz usa i18n keys; prohibido hardcodear cadenas dispersas.</w:t>
      </w:r>
    </w:p>
    <w:p>
      <w:pPr>
        <w:pStyle w:val="Heading1"/>
      </w:pPr>
      <w:r>
        <w:t>18. Privacidad, consentimiento y marco legal</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BEMARA tratará información altamente sensible. Privacidad no es un checkbox legal: es parte del producto. México es el mercado inicial y el diseño deberá cumplir con la LFPDPPP vigente, incluyendo datos sensibles, consentimiento, derechos ARCO, transferencias y tratamiento automatizado.</w:t>
      </w:r>
    </w:p>
    <w:p>
      <w:pPr>
        <w:keepLines w:val="0"/>
      </w:pPr>
      <w:r>
        <w:t>Antes de producción, aviso de privacidad, términos, consentimientos y textos de seguridad deberán revisarse jurídicamente. El desarrollo debe dejar trazabilidad y controles para poder cumplirlos.</w:t>
      </w:r>
    </w:p>
    <w:p>
      <w:pPr>
        <w:pStyle w:val="ListBullet"/>
        <w:spacing w:after="50"/>
        <w:ind w:left="317" w:hanging="173"/>
      </w:pPr>
      <w:r>
        <w:rPr>
          <w:color w:val="2B2228"/>
          <w:sz w:val="18"/>
        </w:rPr>
        <w:t>Consentimiento granular por dominio e integración.</w:t>
      </w:r>
    </w:p>
    <w:p>
      <w:pPr>
        <w:pStyle w:val="ListBullet"/>
        <w:spacing w:after="50"/>
        <w:ind w:left="317" w:hanging="173"/>
      </w:pPr>
      <w:r>
        <w:rPr>
          <w:color w:val="2B2228"/>
          <w:sz w:val="18"/>
        </w:rPr>
        <w:t>Consentimiento expreso cuando corresponda a datos sensibles.</w:t>
      </w:r>
    </w:p>
    <w:p>
      <w:pPr>
        <w:pStyle w:val="ListBullet"/>
        <w:spacing w:after="50"/>
        <w:ind w:left="317" w:hanging="173"/>
      </w:pPr>
      <w:r>
        <w:rPr>
          <w:color w:val="2B2228"/>
          <w:sz w:val="18"/>
        </w:rPr>
        <w:t>Privacy Center, Consent Center, Memory Center y Devices.</w:t>
      </w:r>
    </w:p>
    <w:p>
      <w:pPr>
        <w:pStyle w:val="ListBullet"/>
        <w:spacing w:after="50"/>
        <w:ind w:left="317" w:hanging="173"/>
      </w:pPr>
      <w:r>
        <w:rPr>
          <w:color w:val="2B2228"/>
          <w:sz w:val="18"/>
        </w:rPr>
        <w:t>Acceso, rectificación, cancelación y oposición (ARCO).</w:t>
      </w:r>
    </w:p>
    <w:p>
      <w:pPr>
        <w:pStyle w:val="ListBullet"/>
        <w:spacing w:after="50"/>
        <w:ind w:left="317" w:hanging="173"/>
      </w:pPr>
      <w:r>
        <w:rPr>
          <w:color w:val="2B2228"/>
          <w:sz w:val="18"/>
        </w:rPr>
        <w:t>Exportación y borrado con workflow auditable.</w:t>
      </w:r>
    </w:p>
    <w:p>
      <w:pPr>
        <w:pStyle w:val="ListBullet"/>
        <w:spacing w:after="50"/>
        <w:ind w:left="317" w:hanging="173"/>
      </w:pPr>
      <w:r>
        <w:rPr>
          <w:color w:val="2B2228"/>
          <w:sz w:val="18"/>
        </w:rPr>
        <w:t>No vender datos personales ni usar datos íntimos para publicidad comportamental.</w:t>
      </w:r>
    </w:p>
    <w:p>
      <w:pPr>
        <w:pStyle w:val="ListBullet"/>
        <w:spacing w:after="50"/>
        <w:ind w:left="317" w:hanging="173"/>
      </w:pPr>
      <w:r>
        <w:rPr>
          <w:color w:val="2B2228"/>
          <w:sz w:val="18"/>
        </w:rPr>
        <w:t>No usar contenido de la usuaria para entrenar modelos propios o de terceros por defecto.</w:t>
      </w:r>
    </w:p>
    <w:p>
      <w:pPr>
        <w:pStyle w:val="ListBullet"/>
        <w:spacing w:after="50"/>
        <w:ind w:left="317" w:hanging="173"/>
      </w:pPr>
      <w:r>
        <w:rPr>
          <w:color w:val="2B2228"/>
          <w:sz w:val="18"/>
        </w:rPr>
        <w:t>Transferencias internacionales y subprocesadores claramente documentados.</w:t>
      </w:r>
    </w:p>
    <w:p>
      <w:pPr>
        <w:pStyle w:val="ListBullet"/>
        <w:spacing w:after="50"/>
        <w:ind w:left="317" w:hanging="173"/>
      </w:pPr>
      <w:r>
        <w:rPr>
          <w:color w:val="2B2228"/>
          <w:sz w:val="18"/>
        </w:rPr>
        <w:t>Minimización: recolectar sólo lo necesario para una función clara.</w:t>
      </w:r>
    </w:p>
    <w:p>
      <w:pPr>
        <w:pStyle w:val="ListBullet"/>
        <w:spacing w:after="50"/>
        <w:ind w:left="317" w:hanging="173"/>
      </w:pPr>
      <w:r>
        <w:rPr>
          <w:color w:val="2B2228"/>
          <w:sz w:val="18"/>
        </w:rPr>
        <w:t>Explicabilidad y posibilidad de oposición/ajuste en tratamientos automatizados relevantes.</w:t>
      </w:r>
    </w:p>
    <w:p>
      <w:pPr>
        <w:pStyle w:val="Heading1"/>
      </w:pPr>
      <w:r>
        <w:t>19. Safety: límites médicos, psicológicos y financieros</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pStyle w:val="ListBullet"/>
        <w:spacing w:after="50"/>
        <w:ind w:left="317" w:hanging="173"/>
      </w:pPr>
      <w:r>
        <w:rPr>
          <w:color w:val="2B2228"/>
          <w:sz w:val="18"/>
        </w:rPr>
        <w:t>BEMARA informa, organiza, correlaciona y acompaña; no diagnostica ni prescribe.</w:t>
      </w:r>
    </w:p>
    <w:p>
      <w:pPr>
        <w:pStyle w:val="ListBullet"/>
        <w:spacing w:after="50"/>
        <w:ind w:left="317" w:hanging="173"/>
      </w:pPr>
      <w:r>
        <w:rPr>
          <w:color w:val="2B2228"/>
          <w:sz w:val="18"/>
        </w:rPr>
        <w:t>LENA no sustituye ginecóloga, psicóloga, psiquiatra, nutrióloga, abogada o asesora financiera.</w:t>
      </w:r>
    </w:p>
    <w:p>
      <w:pPr>
        <w:pStyle w:val="ListBullet"/>
        <w:spacing w:after="50"/>
        <w:ind w:left="317" w:hanging="173"/>
      </w:pPr>
      <w:r>
        <w:rPr>
          <w:color w:val="2B2228"/>
          <w:sz w:val="18"/>
        </w:rPr>
        <w:t>No afirmar “tienes depresión”, “tienes X enfermedad” o equivalentes sin un flujo clínico validado que no existe en V1.</w:t>
      </w:r>
    </w:p>
    <w:p>
      <w:pPr>
        <w:pStyle w:val="ListBullet"/>
        <w:spacing w:after="50"/>
        <w:ind w:left="317" w:hanging="173"/>
      </w:pPr>
      <w:r>
        <w:rPr>
          <w:color w:val="2B2228"/>
          <w:sz w:val="18"/>
        </w:rPr>
        <w:t>Puede describir cambios sostenidos y recomendar acercarse a un profesional.</w:t>
      </w:r>
    </w:p>
    <w:p>
      <w:pPr>
        <w:pStyle w:val="ListBullet"/>
        <w:spacing w:after="50"/>
        <w:ind w:left="317" w:hanging="173"/>
      </w:pPr>
      <w:r>
        <w:rPr>
          <w:color w:val="2B2228"/>
          <w:sz w:val="18"/>
        </w:rPr>
        <w:t>No etiquetar a terceros con diagnósticos psicológicos.</w:t>
      </w:r>
    </w:p>
    <w:p>
      <w:pPr>
        <w:pStyle w:val="ListBullet"/>
        <w:spacing w:after="50"/>
        <w:ind w:left="317" w:hanging="173"/>
      </w:pPr>
      <w:r>
        <w:rPr>
          <w:color w:val="2B2228"/>
          <w:sz w:val="18"/>
        </w:rPr>
        <w:t>No ejecutar inversiones, créditos o transferencias financieras en V1.</w:t>
      </w:r>
    </w:p>
    <w:p>
      <w:pPr>
        <w:pStyle w:val="ListBullet"/>
        <w:spacing w:after="50"/>
        <w:ind w:left="317" w:hanging="173"/>
      </w:pPr>
      <w:r>
        <w:rPr>
          <w:color w:val="2B2228"/>
          <w:sz w:val="18"/>
        </w:rPr>
        <w:t>Acciones irreversibles o sensibles requieren confirmación humana.</w:t>
      </w:r>
    </w:p>
    <w:p>
      <w:pPr>
        <w:pStyle w:val="ListBullet"/>
        <w:spacing w:after="50"/>
        <w:ind w:left="317" w:hanging="173"/>
      </w:pPr>
      <w:r>
        <w:rPr>
          <w:color w:val="2B2228"/>
          <w:sz w:val="18"/>
        </w:rPr>
        <w:t>Safety Engine y country resource registry para crisis, violencia y emergencias.</w:t>
      </w:r>
    </w:p>
    <w:p>
      <w:pPr>
        <w:pStyle w:val="ListBullet"/>
        <w:spacing w:after="50"/>
        <w:ind w:left="317" w:hanging="173"/>
      </w:pPr>
      <w:r>
        <w:rPr>
          <w:color w:val="2B2228"/>
          <w:sz w:val="18"/>
        </w:rPr>
        <w:t>No contactar terceros automáticamente sin autorización explícita o obligación legal aplicable.</w:t>
      </w:r>
    </w:p>
    <w:p>
      <w:pPr>
        <w:pStyle w:val="Heading1"/>
      </w:pPr>
      <w:r>
        <w:t>20. Arquitectura técnica obligatoria</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No crear microservicios por moda. Modular monolith + workers primero; separar servicios sólo por necesidad real de escala, seguridad o disponibilidad.</w:t>
            </w:r>
          </w:p>
        </w:tc>
      </w:tr>
    </w:tbl>
    <w:p>
      <w:pPr>
        <w:spacing w:after="2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241820"/>
            <w:vAlign w:val="center"/>
          </w:tcPr>
          <w:p>
            <w:r>
              <w:rPr>
                <w:b/>
                <w:color w:val="FFFFFF"/>
                <w:sz w:val="17"/>
              </w:rPr>
              <w:t>Capa</w:t>
            </w:r>
          </w:p>
        </w:tc>
        <w:tc>
          <w:tcPr>
            <w:tcW w:type="dxa" w:w="5083"/>
            <w:shd w:fill="241820"/>
            <w:vAlign w:val="center"/>
          </w:tcPr>
          <w:p>
            <w:r>
              <w:rPr>
                <w:b/>
                <w:color w:val="FFFFFF"/>
                <w:sz w:val="17"/>
              </w:rPr>
              <w:t>Decisión</w:t>
            </w:r>
          </w:p>
        </w:tc>
      </w:tr>
      <w:tr>
        <w:tc>
          <w:tcPr>
            <w:tcW w:type="dxa" w:w="5083"/>
            <w:shd w:fill="F7F1ED"/>
            <w:vAlign w:val="center"/>
            <w:tcBorders>
              <w:bottom w:val="single" w:sz="4" w:color="E2D4CF"/>
            </w:tcBorders>
          </w:tcPr>
          <w:p>
            <w:pPr>
              <w:spacing w:after="0"/>
            </w:pPr>
            <w:r>
              <w:rPr>
                <w:color w:val="2B2228"/>
                <w:sz w:val="17"/>
              </w:rPr>
              <w:t>Monorepo</w:t>
            </w:r>
          </w:p>
        </w:tc>
        <w:tc>
          <w:tcPr>
            <w:tcW w:type="dxa" w:w="5083"/>
            <w:shd w:fill="F7F1ED"/>
            <w:vAlign w:val="center"/>
            <w:tcBorders>
              <w:bottom w:val="single" w:sz="4" w:color="E2D4CF"/>
            </w:tcBorders>
          </w:tcPr>
          <w:p>
            <w:pPr>
              <w:spacing w:after="0"/>
            </w:pPr>
            <w:r>
              <w:rPr>
                <w:color w:val="2B2228"/>
                <w:sz w:val="17"/>
              </w:rPr>
              <w:t>pnpm + Turborepo; TypeScript end-to-end.</w:t>
            </w:r>
          </w:p>
        </w:tc>
      </w:tr>
      <w:tr>
        <w:tc>
          <w:tcPr>
            <w:tcW w:type="dxa" w:w="5083"/>
            <w:shd w:fill="F2E9E2"/>
            <w:vAlign w:val="center"/>
            <w:tcBorders>
              <w:bottom w:val="single" w:sz="4" w:color="E2D4CF"/>
            </w:tcBorders>
          </w:tcPr>
          <w:p>
            <w:pPr>
              <w:spacing w:after="0"/>
            </w:pPr>
            <w:r>
              <w:rPr>
                <w:color w:val="2B2228"/>
                <w:sz w:val="17"/>
              </w:rPr>
              <w:t>Web/PWA + sitio público</w:t>
            </w:r>
          </w:p>
        </w:tc>
        <w:tc>
          <w:tcPr>
            <w:tcW w:type="dxa" w:w="5083"/>
            <w:shd w:fill="F2E9E2"/>
            <w:vAlign w:val="center"/>
            <w:tcBorders>
              <w:bottom w:val="single" w:sz="4" w:color="E2D4CF"/>
            </w:tcBorders>
          </w:tcPr>
          <w:p>
            <w:pPr>
              <w:spacing w:after="0"/>
            </w:pPr>
            <w:r>
              <w:rPr>
                <w:color w:val="2B2228"/>
                <w:sz w:val="17"/>
              </w:rPr>
              <w:t>Next.js + React + TypeScript, PWA, SSR/SEO para sitio público.</w:t>
            </w:r>
          </w:p>
        </w:tc>
      </w:tr>
      <w:tr>
        <w:tc>
          <w:tcPr>
            <w:tcW w:type="dxa" w:w="5083"/>
            <w:shd w:fill="F7F1ED"/>
            <w:vAlign w:val="center"/>
            <w:tcBorders>
              <w:bottom w:val="single" w:sz="4" w:color="E2D4CF"/>
            </w:tcBorders>
          </w:tcPr>
          <w:p>
            <w:pPr>
              <w:spacing w:after="0"/>
            </w:pPr>
            <w:r>
              <w:rPr>
                <w:color w:val="2B2228"/>
                <w:sz w:val="17"/>
              </w:rPr>
              <w:t>Mobile</w:t>
            </w:r>
          </w:p>
        </w:tc>
        <w:tc>
          <w:tcPr>
            <w:tcW w:type="dxa" w:w="5083"/>
            <w:shd w:fill="F7F1ED"/>
            <w:vAlign w:val="center"/>
            <w:tcBorders>
              <w:bottom w:val="single" w:sz="4" w:color="E2D4CF"/>
            </w:tcBorders>
          </w:tcPr>
          <w:p>
            <w:pPr>
              <w:spacing w:after="0"/>
            </w:pPr>
            <w:r>
              <w:rPr>
                <w:color w:val="2B2228"/>
                <w:sz w:val="17"/>
              </w:rPr>
              <w:t>React Native + Expo + TypeScript; Expo Router; iOS + Android.</w:t>
            </w:r>
          </w:p>
        </w:tc>
      </w:tr>
      <w:tr>
        <w:tc>
          <w:tcPr>
            <w:tcW w:type="dxa" w:w="5083"/>
            <w:shd w:fill="F2E9E2"/>
            <w:vAlign w:val="center"/>
            <w:tcBorders>
              <w:bottom w:val="single" w:sz="4" w:color="E2D4CF"/>
            </w:tcBorders>
          </w:tcPr>
          <w:p>
            <w:pPr>
              <w:spacing w:after="0"/>
            </w:pPr>
            <w:r>
              <w:rPr>
                <w:color w:val="2B2228"/>
                <w:sz w:val="17"/>
              </w:rPr>
              <w:t>Operations</w:t>
            </w:r>
          </w:p>
        </w:tc>
        <w:tc>
          <w:tcPr>
            <w:tcW w:type="dxa" w:w="5083"/>
            <w:shd w:fill="F2E9E2"/>
            <w:vAlign w:val="center"/>
            <w:tcBorders>
              <w:bottom w:val="single" w:sz="4" w:color="E2D4CF"/>
            </w:tcBorders>
          </w:tcPr>
          <w:p>
            <w:pPr>
              <w:spacing w:after="0"/>
            </w:pPr>
            <w:r>
              <w:rPr>
                <w:color w:val="2B2228"/>
                <w:sz w:val="17"/>
              </w:rPr>
              <w:t>Next.js + TypeScript, app separada.</w:t>
            </w:r>
          </w:p>
        </w:tc>
      </w:tr>
      <w:tr>
        <w:tc>
          <w:tcPr>
            <w:tcW w:type="dxa" w:w="5083"/>
            <w:shd w:fill="F7F1ED"/>
            <w:vAlign w:val="center"/>
            <w:tcBorders>
              <w:bottom w:val="single" w:sz="4" w:color="E2D4CF"/>
            </w:tcBorders>
          </w:tcPr>
          <w:p>
            <w:pPr>
              <w:spacing w:after="0"/>
            </w:pPr>
            <w:r>
              <w:rPr>
                <w:color w:val="2B2228"/>
                <w:sz w:val="17"/>
              </w:rPr>
              <w:t>Backend API</w:t>
            </w:r>
          </w:p>
        </w:tc>
        <w:tc>
          <w:tcPr>
            <w:tcW w:type="dxa" w:w="5083"/>
            <w:shd w:fill="F7F1ED"/>
            <w:vAlign w:val="center"/>
            <w:tcBorders>
              <w:bottom w:val="single" w:sz="4" w:color="E2D4CF"/>
            </w:tcBorders>
          </w:tcPr>
          <w:p>
            <w:pPr>
              <w:spacing w:after="0"/>
            </w:pPr>
            <w:r>
              <w:rPr>
                <w:color w:val="2B2228"/>
                <w:sz w:val="17"/>
              </w:rPr>
              <w:t>Node.js + NestJS + TypeScript, modular monolith inicial.</w:t>
            </w:r>
          </w:p>
        </w:tc>
      </w:tr>
      <w:tr>
        <w:tc>
          <w:tcPr>
            <w:tcW w:type="dxa" w:w="5083"/>
            <w:shd w:fill="F2E9E2"/>
            <w:vAlign w:val="center"/>
            <w:tcBorders>
              <w:bottom w:val="single" w:sz="4" w:color="E2D4CF"/>
            </w:tcBorders>
          </w:tcPr>
          <w:p>
            <w:pPr>
              <w:spacing w:after="0"/>
            </w:pPr>
            <w:r>
              <w:rPr>
                <w:color w:val="2B2228"/>
                <w:sz w:val="17"/>
              </w:rPr>
              <w:t>Database</w:t>
            </w:r>
          </w:p>
        </w:tc>
        <w:tc>
          <w:tcPr>
            <w:tcW w:type="dxa" w:w="5083"/>
            <w:shd w:fill="F2E9E2"/>
            <w:vAlign w:val="center"/>
            <w:tcBorders>
              <w:bottom w:val="single" w:sz="4" w:color="E2D4CF"/>
            </w:tcBorders>
          </w:tcPr>
          <w:p>
            <w:pPr>
              <w:spacing w:after="0"/>
            </w:pPr>
            <w:r>
              <w:rPr>
                <w:color w:val="2B2228"/>
                <w:sz w:val="17"/>
              </w:rPr>
              <w:t>PostgreSQL administrado con Supabase; RLS obligatorio.</w:t>
            </w:r>
          </w:p>
        </w:tc>
      </w:tr>
      <w:tr>
        <w:tc>
          <w:tcPr>
            <w:tcW w:type="dxa" w:w="5083"/>
            <w:shd w:fill="F7F1ED"/>
            <w:vAlign w:val="center"/>
            <w:tcBorders>
              <w:bottom w:val="single" w:sz="4" w:color="E2D4CF"/>
            </w:tcBorders>
          </w:tcPr>
          <w:p>
            <w:pPr>
              <w:spacing w:after="0"/>
            </w:pPr>
            <w:r>
              <w:rPr>
                <w:color w:val="2B2228"/>
                <w:sz w:val="17"/>
              </w:rPr>
              <w:t>ORM/migrations</w:t>
            </w:r>
          </w:p>
        </w:tc>
        <w:tc>
          <w:tcPr>
            <w:tcW w:type="dxa" w:w="5083"/>
            <w:shd w:fill="F7F1ED"/>
            <w:vAlign w:val="center"/>
            <w:tcBorders>
              <w:bottom w:val="single" w:sz="4" w:color="E2D4CF"/>
            </w:tcBorders>
          </w:tcPr>
          <w:p>
            <w:pPr>
              <w:spacing w:after="0"/>
            </w:pPr>
            <w:r>
              <w:rPr>
                <w:color w:val="2B2228"/>
                <w:sz w:val="17"/>
              </w:rPr>
              <w:t>Drizzle ORM + SQL migrations; DB remains portable PostgreSQL.</w:t>
            </w:r>
          </w:p>
        </w:tc>
      </w:tr>
      <w:tr>
        <w:tc>
          <w:tcPr>
            <w:tcW w:type="dxa" w:w="5083"/>
            <w:shd w:fill="F2E9E2"/>
            <w:vAlign w:val="center"/>
            <w:tcBorders>
              <w:bottom w:val="single" w:sz="4" w:color="E2D4CF"/>
            </w:tcBorders>
          </w:tcPr>
          <w:p>
            <w:pPr>
              <w:spacing w:after="0"/>
            </w:pPr>
            <w:r>
              <w:rPr>
                <w:color w:val="2B2228"/>
                <w:sz w:val="17"/>
              </w:rPr>
              <w:t>Vector search</w:t>
            </w:r>
          </w:p>
        </w:tc>
        <w:tc>
          <w:tcPr>
            <w:tcW w:type="dxa" w:w="5083"/>
            <w:shd w:fill="F2E9E2"/>
            <w:vAlign w:val="center"/>
            <w:tcBorders>
              <w:bottom w:val="single" w:sz="4" w:color="E2D4CF"/>
            </w:tcBorders>
          </w:tcPr>
          <w:p>
            <w:pPr>
              <w:spacing w:after="0"/>
            </w:pPr>
            <w:r>
              <w:rPr>
                <w:color w:val="2B2228"/>
                <w:sz w:val="17"/>
              </w:rPr>
              <w:t>pgvector.</w:t>
            </w:r>
          </w:p>
        </w:tc>
      </w:tr>
      <w:tr>
        <w:tc>
          <w:tcPr>
            <w:tcW w:type="dxa" w:w="5083"/>
            <w:shd w:fill="F7F1ED"/>
            <w:vAlign w:val="center"/>
            <w:tcBorders>
              <w:bottom w:val="single" w:sz="4" w:color="E2D4CF"/>
            </w:tcBorders>
          </w:tcPr>
          <w:p>
            <w:pPr>
              <w:spacing w:after="0"/>
            </w:pPr>
            <w:r>
              <w:rPr>
                <w:color w:val="2B2228"/>
                <w:sz w:val="17"/>
              </w:rPr>
              <w:t>Auth</w:t>
            </w:r>
          </w:p>
        </w:tc>
        <w:tc>
          <w:tcPr>
            <w:tcW w:type="dxa" w:w="5083"/>
            <w:shd w:fill="F7F1ED"/>
            <w:vAlign w:val="center"/>
            <w:tcBorders>
              <w:bottom w:val="single" w:sz="4" w:color="E2D4CF"/>
            </w:tcBorders>
          </w:tcPr>
          <w:p>
            <w:pPr>
              <w:spacing w:after="0"/>
            </w:pPr>
            <w:r>
              <w:rPr>
                <w:color w:val="2B2228"/>
                <w:sz w:val="17"/>
              </w:rPr>
              <w:t>Supabase Auth; email/password + Apple/Google; sesiones seguras.</w:t>
            </w:r>
          </w:p>
        </w:tc>
      </w:tr>
      <w:tr>
        <w:tc>
          <w:tcPr>
            <w:tcW w:type="dxa" w:w="5083"/>
            <w:shd w:fill="F2E9E2"/>
            <w:vAlign w:val="center"/>
            <w:tcBorders>
              <w:bottom w:val="single" w:sz="4" w:color="E2D4CF"/>
            </w:tcBorders>
          </w:tcPr>
          <w:p>
            <w:pPr>
              <w:spacing w:after="0"/>
            </w:pPr>
            <w:r>
              <w:rPr>
                <w:color w:val="2B2228"/>
                <w:sz w:val="17"/>
              </w:rPr>
              <w:t>Storage</w:t>
            </w:r>
          </w:p>
        </w:tc>
        <w:tc>
          <w:tcPr>
            <w:tcW w:type="dxa" w:w="5083"/>
            <w:shd w:fill="F2E9E2"/>
            <w:vAlign w:val="center"/>
            <w:tcBorders>
              <w:bottom w:val="single" w:sz="4" w:color="E2D4CF"/>
            </w:tcBorders>
          </w:tcPr>
          <w:p>
            <w:pPr>
              <w:spacing w:after="0"/>
            </w:pPr>
            <w:r>
              <w:rPr>
                <w:color w:val="2B2228"/>
                <w:sz w:val="17"/>
              </w:rPr>
              <w:t>Buckets privados; acceso temporal; abstracción para migración.</w:t>
            </w:r>
          </w:p>
        </w:tc>
      </w:tr>
      <w:tr>
        <w:tc>
          <w:tcPr>
            <w:tcW w:type="dxa" w:w="5083"/>
            <w:shd w:fill="F7F1ED"/>
            <w:vAlign w:val="center"/>
            <w:tcBorders>
              <w:bottom w:val="single" w:sz="4" w:color="E2D4CF"/>
            </w:tcBorders>
          </w:tcPr>
          <w:p>
            <w:pPr>
              <w:spacing w:after="0"/>
            </w:pPr>
            <w:r>
              <w:rPr>
                <w:color w:val="2B2228"/>
                <w:sz w:val="17"/>
              </w:rPr>
              <w:t>Jobs</w:t>
            </w:r>
          </w:p>
        </w:tc>
        <w:tc>
          <w:tcPr>
            <w:tcW w:type="dxa" w:w="5083"/>
            <w:shd w:fill="F7F1ED"/>
            <w:vAlign w:val="center"/>
            <w:tcBorders>
              <w:bottom w:val="single" w:sz="4" w:color="E2D4CF"/>
            </w:tcBorders>
          </w:tcPr>
          <w:p>
            <w:pPr>
              <w:spacing w:after="0"/>
            </w:pPr>
            <w:r>
              <w:rPr>
                <w:color w:val="2B2228"/>
                <w:sz w:val="17"/>
              </w:rPr>
              <w:t>Workers + cola Postgres (pg-boss) para jobs, schedules y retries.</w:t>
            </w:r>
          </w:p>
        </w:tc>
      </w:tr>
      <w:tr>
        <w:tc>
          <w:tcPr>
            <w:tcW w:type="dxa" w:w="5083"/>
            <w:shd w:fill="F2E9E2"/>
            <w:vAlign w:val="center"/>
            <w:tcBorders>
              <w:bottom w:val="single" w:sz="4" w:color="E2D4CF"/>
            </w:tcBorders>
          </w:tcPr>
          <w:p>
            <w:pPr>
              <w:spacing w:after="0"/>
            </w:pPr>
            <w:r>
              <w:rPr>
                <w:color w:val="2B2228"/>
                <w:sz w:val="17"/>
              </w:rPr>
              <w:t>AI Gateway</w:t>
            </w:r>
          </w:p>
        </w:tc>
        <w:tc>
          <w:tcPr>
            <w:tcW w:type="dxa" w:w="5083"/>
            <w:shd w:fill="F2E9E2"/>
            <w:vAlign w:val="center"/>
            <w:tcBorders>
              <w:bottom w:val="single" w:sz="4" w:color="E2D4CF"/>
            </w:tcBorders>
          </w:tcPr>
          <w:p>
            <w:pPr>
              <w:spacing w:after="0"/>
            </w:pPr>
            <w:r>
              <w:rPr>
                <w:color w:val="2B2228"/>
                <w:sz w:val="17"/>
              </w:rPr>
              <w:t>Capa propia; OpenAI primary, Anthropic fallback/specialization.</w:t>
            </w:r>
          </w:p>
        </w:tc>
      </w:tr>
      <w:tr>
        <w:tc>
          <w:tcPr>
            <w:tcW w:type="dxa" w:w="5083"/>
            <w:shd w:fill="F7F1ED"/>
            <w:vAlign w:val="center"/>
            <w:tcBorders>
              <w:bottom w:val="single" w:sz="4" w:color="E2D4CF"/>
            </w:tcBorders>
          </w:tcPr>
          <w:p>
            <w:pPr>
              <w:spacing w:after="0"/>
            </w:pPr>
            <w:r>
              <w:rPr>
                <w:color w:val="2B2228"/>
                <w:sz w:val="17"/>
              </w:rPr>
              <w:t>Voice</w:t>
            </w:r>
          </w:p>
        </w:tc>
        <w:tc>
          <w:tcPr>
            <w:tcW w:type="dxa" w:w="5083"/>
            <w:shd w:fill="F7F1ED"/>
            <w:vAlign w:val="center"/>
            <w:tcBorders>
              <w:bottom w:val="single" w:sz="4" w:color="E2D4CF"/>
            </w:tcBorders>
          </w:tcPr>
          <w:p>
            <w:pPr>
              <w:spacing w:after="0"/>
            </w:pPr>
            <w:r>
              <w:rPr>
                <w:color w:val="2B2228"/>
                <w:sz w:val="17"/>
              </w:rPr>
              <w:t>OpenAI Realtime/audio through AI Gateway.</w:t>
            </w:r>
          </w:p>
        </w:tc>
      </w:tr>
      <w:tr>
        <w:tc>
          <w:tcPr>
            <w:tcW w:type="dxa" w:w="5083"/>
            <w:shd w:fill="F2E9E2"/>
            <w:vAlign w:val="center"/>
            <w:tcBorders>
              <w:bottom w:val="single" w:sz="4" w:color="E2D4CF"/>
            </w:tcBorders>
          </w:tcPr>
          <w:p>
            <w:pPr>
              <w:spacing w:after="0"/>
            </w:pPr>
            <w:r>
              <w:rPr>
                <w:color w:val="2B2228"/>
                <w:sz w:val="17"/>
              </w:rPr>
              <w:t>Mail</w:t>
            </w:r>
          </w:p>
        </w:tc>
        <w:tc>
          <w:tcPr>
            <w:tcW w:type="dxa" w:w="5083"/>
            <w:shd w:fill="F2E9E2"/>
            <w:vAlign w:val="center"/>
            <w:tcBorders>
              <w:bottom w:val="single" w:sz="4" w:color="E2D4CF"/>
            </w:tcBorders>
          </w:tcPr>
          <w:p>
            <w:pPr>
              <w:spacing w:after="0"/>
            </w:pPr>
            <w:r>
              <w:rPr>
                <w:color w:val="2B2228"/>
                <w:sz w:val="17"/>
              </w:rPr>
              <w:t>Resend + BEMARA Mail Engine; inbound/outbound/webhooks.</w:t>
            </w:r>
          </w:p>
        </w:tc>
      </w:tr>
      <w:tr>
        <w:tc>
          <w:tcPr>
            <w:tcW w:type="dxa" w:w="5083"/>
            <w:shd w:fill="F7F1ED"/>
            <w:vAlign w:val="center"/>
            <w:tcBorders>
              <w:bottom w:val="single" w:sz="4" w:color="E2D4CF"/>
            </w:tcBorders>
          </w:tcPr>
          <w:p>
            <w:pPr>
              <w:spacing w:after="0"/>
            </w:pPr>
            <w:r>
              <w:rPr>
                <w:color w:val="2B2228"/>
                <w:sz w:val="17"/>
              </w:rPr>
              <w:t>Push</w:t>
            </w:r>
          </w:p>
        </w:tc>
        <w:tc>
          <w:tcPr>
            <w:tcW w:type="dxa" w:w="5083"/>
            <w:shd w:fill="F7F1ED"/>
            <w:vAlign w:val="center"/>
            <w:tcBorders>
              <w:bottom w:val="single" w:sz="4" w:color="E2D4CF"/>
            </w:tcBorders>
          </w:tcPr>
          <w:p>
            <w:pPr>
              <w:spacing w:after="0"/>
            </w:pPr>
            <w:r>
              <w:rPr>
                <w:color w:val="2B2228"/>
                <w:sz w:val="17"/>
              </w:rPr>
              <w:t>Expo Notifications → APNs/FCM; lógica propia de prioridad.</w:t>
            </w:r>
          </w:p>
        </w:tc>
      </w:tr>
      <w:tr>
        <w:tc>
          <w:tcPr>
            <w:tcW w:type="dxa" w:w="5083"/>
            <w:shd w:fill="F2E9E2"/>
            <w:vAlign w:val="center"/>
            <w:tcBorders>
              <w:bottom w:val="single" w:sz="4" w:color="E2D4CF"/>
            </w:tcBorders>
          </w:tcPr>
          <w:p>
            <w:pPr>
              <w:spacing w:after="0"/>
            </w:pPr>
            <w:r>
              <w:rPr>
                <w:color w:val="2B2228"/>
                <w:sz w:val="17"/>
              </w:rPr>
              <w:t>Payments web MX</w:t>
            </w:r>
          </w:p>
        </w:tc>
        <w:tc>
          <w:tcPr>
            <w:tcW w:type="dxa" w:w="5083"/>
            <w:shd w:fill="F2E9E2"/>
            <w:vAlign w:val="center"/>
            <w:tcBorders>
              <w:bottom w:val="single" w:sz="4" w:color="E2D4CF"/>
            </w:tcBorders>
          </w:tcPr>
          <w:p>
            <w:pPr>
              <w:spacing w:after="0"/>
            </w:pPr>
            <w:r>
              <w:rPr>
                <w:color w:val="2B2228"/>
                <w:sz w:val="17"/>
              </w:rPr>
              <w:t>Conekta mediante Payment Adapter.</w:t>
            </w:r>
          </w:p>
        </w:tc>
      </w:tr>
      <w:tr>
        <w:tc>
          <w:tcPr>
            <w:tcW w:type="dxa" w:w="5083"/>
            <w:shd w:fill="F7F1ED"/>
            <w:vAlign w:val="center"/>
            <w:tcBorders>
              <w:bottom w:val="single" w:sz="4" w:color="E2D4CF"/>
            </w:tcBorders>
          </w:tcPr>
          <w:p>
            <w:pPr>
              <w:spacing w:after="0"/>
            </w:pPr>
            <w:r>
              <w:rPr>
                <w:color w:val="2B2228"/>
                <w:sz w:val="17"/>
              </w:rPr>
              <w:t>Payments mobile</w:t>
            </w:r>
          </w:p>
        </w:tc>
        <w:tc>
          <w:tcPr>
            <w:tcW w:type="dxa" w:w="5083"/>
            <w:shd w:fill="F7F1ED"/>
            <w:vAlign w:val="center"/>
            <w:tcBorders>
              <w:bottom w:val="single" w:sz="4" w:color="E2D4CF"/>
            </w:tcBorders>
          </w:tcPr>
          <w:p>
            <w:pPr>
              <w:spacing w:after="0"/>
            </w:pPr>
            <w:r>
              <w:rPr>
                <w:color w:val="2B2228"/>
                <w:sz w:val="17"/>
              </w:rPr>
              <w:t>Apple In-App Purchase + Google Play Billing.</w:t>
            </w:r>
          </w:p>
        </w:tc>
      </w:tr>
      <w:tr>
        <w:tc>
          <w:tcPr>
            <w:tcW w:type="dxa" w:w="5083"/>
            <w:shd w:fill="F2E9E2"/>
            <w:vAlign w:val="center"/>
            <w:tcBorders>
              <w:bottom w:val="single" w:sz="4" w:color="E2D4CF"/>
            </w:tcBorders>
          </w:tcPr>
          <w:p>
            <w:pPr>
              <w:spacing w:after="0"/>
            </w:pPr>
            <w:r>
              <w:rPr>
                <w:color w:val="2B2228"/>
                <w:sz w:val="17"/>
              </w:rPr>
              <w:t>Entitlements</w:t>
            </w:r>
          </w:p>
        </w:tc>
        <w:tc>
          <w:tcPr>
            <w:tcW w:type="dxa" w:w="5083"/>
            <w:shd w:fill="F2E9E2"/>
            <w:vAlign w:val="center"/>
            <w:tcBorders>
              <w:bottom w:val="single" w:sz="4" w:color="E2D4CF"/>
            </w:tcBorders>
          </w:tcPr>
          <w:p>
            <w:pPr>
              <w:spacing w:after="0"/>
            </w:pPr>
            <w:r>
              <w:rPr>
                <w:color w:val="2B2228"/>
                <w:sz w:val="17"/>
              </w:rPr>
              <w:t>Motor propio independiente del canal de pago.</w:t>
            </w:r>
          </w:p>
        </w:tc>
      </w:tr>
      <w:tr>
        <w:tc>
          <w:tcPr>
            <w:tcW w:type="dxa" w:w="5083"/>
            <w:shd w:fill="F7F1ED"/>
            <w:vAlign w:val="center"/>
            <w:tcBorders>
              <w:bottom w:val="single" w:sz="4" w:color="E2D4CF"/>
            </w:tcBorders>
          </w:tcPr>
          <w:p>
            <w:pPr>
              <w:spacing w:after="0"/>
            </w:pPr>
            <w:r>
              <w:rPr>
                <w:color w:val="2B2228"/>
                <w:sz w:val="17"/>
              </w:rPr>
              <w:t>Analytics</w:t>
            </w:r>
          </w:p>
        </w:tc>
        <w:tc>
          <w:tcPr>
            <w:tcW w:type="dxa" w:w="5083"/>
            <w:shd w:fill="F7F1ED"/>
            <w:vAlign w:val="center"/>
            <w:tcBorders>
              <w:bottom w:val="single" w:sz="4" w:color="E2D4CF"/>
            </w:tcBorders>
          </w:tcPr>
          <w:p>
            <w:pPr>
              <w:spacing w:after="0"/>
            </w:pPr>
            <w:r>
              <w:rPr>
                <w:color w:val="2B2228"/>
                <w:sz w:val="17"/>
              </w:rPr>
              <w:t>First-party product events + PostHog sólo con allowlist no sensible.</w:t>
            </w:r>
          </w:p>
        </w:tc>
      </w:tr>
      <w:tr>
        <w:tc>
          <w:tcPr>
            <w:tcW w:type="dxa" w:w="5083"/>
            <w:shd w:fill="F2E9E2"/>
            <w:vAlign w:val="center"/>
            <w:tcBorders>
              <w:bottom w:val="single" w:sz="4" w:color="E2D4CF"/>
            </w:tcBorders>
          </w:tcPr>
          <w:p>
            <w:pPr>
              <w:spacing w:after="0"/>
            </w:pPr>
            <w:r>
              <w:rPr>
                <w:color w:val="2B2228"/>
                <w:sz w:val="17"/>
              </w:rPr>
              <w:t>Errors</w:t>
            </w:r>
          </w:p>
        </w:tc>
        <w:tc>
          <w:tcPr>
            <w:tcW w:type="dxa" w:w="5083"/>
            <w:shd w:fill="F2E9E2"/>
            <w:vAlign w:val="center"/>
            <w:tcBorders>
              <w:bottom w:val="single" w:sz="4" w:color="E2D4CF"/>
            </w:tcBorders>
          </w:tcPr>
          <w:p>
            <w:pPr>
              <w:spacing w:after="0"/>
            </w:pPr>
            <w:r>
              <w:rPr>
                <w:color w:val="2B2228"/>
                <w:sz w:val="17"/>
              </w:rPr>
              <w:t>Sentry con PII scrubbing; jamás request bodies sensibles.</w:t>
            </w:r>
          </w:p>
        </w:tc>
      </w:tr>
      <w:tr>
        <w:tc>
          <w:tcPr>
            <w:tcW w:type="dxa" w:w="5083"/>
            <w:shd w:fill="F7F1ED"/>
            <w:vAlign w:val="center"/>
            <w:tcBorders>
              <w:bottom w:val="single" w:sz="4" w:color="E2D4CF"/>
            </w:tcBorders>
          </w:tcPr>
          <w:p>
            <w:pPr>
              <w:spacing w:after="0"/>
            </w:pPr>
            <w:r>
              <w:rPr>
                <w:color w:val="2B2228"/>
                <w:sz w:val="17"/>
              </w:rPr>
              <w:t>Web deploy default</w:t>
            </w:r>
          </w:p>
        </w:tc>
        <w:tc>
          <w:tcPr>
            <w:tcW w:type="dxa" w:w="5083"/>
            <w:shd w:fill="F7F1ED"/>
            <w:vAlign w:val="center"/>
            <w:tcBorders>
              <w:bottom w:val="single" w:sz="4" w:color="E2D4CF"/>
            </w:tcBorders>
          </w:tcPr>
          <w:p>
            <w:pPr>
              <w:spacing w:after="0"/>
            </w:pPr>
            <w:r>
              <w:rPr>
                <w:color w:val="2B2228"/>
                <w:sz w:val="17"/>
              </w:rPr>
              <w:t>Netlify; mantener compatibilidad de build.</w:t>
            </w:r>
          </w:p>
        </w:tc>
      </w:tr>
      <w:tr>
        <w:tc>
          <w:tcPr>
            <w:tcW w:type="dxa" w:w="5083"/>
            <w:shd w:fill="F2E9E2"/>
            <w:vAlign w:val="center"/>
            <w:tcBorders>
              <w:bottom w:val="single" w:sz="4" w:color="E2D4CF"/>
            </w:tcBorders>
          </w:tcPr>
          <w:p>
            <w:pPr>
              <w:spacing w:after="0"/>
            </w:pPr>
            <w:r>
              <w:rPr>
                <w:color w:val="2B2228"/>
                <w:sz w:val="17"/>
              </w:rPr>
              <w:t>API/workers deploy default</w:t>
            </w:r>
          </w:p>
        </w:tc>
        <w:tc>
          <w:tcPr>
            <w:tcW w:type="dxa" w:w="5083"/>
            <w:shd w:fill="F2E9E2"/>
            <w:vAlign w:val="center"/>
            <w:tcBorders>
              <w:bottom w:val="single" w:sz="4" w:color="E2D4CF"/>
            </w:tcBorders>
          </w:tcPr>
          <w:p>
            <w:pPr>
              <w:spacing w:after="0"/>
            </w:pPr>
            <w:r>
              <w:rPr>
                <w:color w:val="2B2228"/>
                <w:sz w:val="17"/>
              </w:rPr>
              <w:t>Railway; contenedores/Node portables.</w:t>
            </w:r>
          </w:p>
        </w:tc>
      </w:tr>
      <w:tr>
        <w:tc>
          <w:tcPr>
            <w:tcW w:type="dxa" w:w="5083"/>
            <w:shd w:fill="F7F1ED"/>
            <w:vAlign w:val="center"/>
            <w:tcBorders>
              <w:bottom w:val="single" w:sz="4" w:color="E2D4CF"/>
            </w:tcBorders>
          </w:tcPr>
          <w:p>
            <w:pPr>
              <w:spacing w:after="0"/>
            </w:pPr>
            <w:r>
              <w:rPr>
                <w:color w:val="2B2228"/>
                <w:sz w:val="17"/>
              </w:rPr>
              <w:t>Mobile build/release</w:t>
            </w:r>
          </w:p>
        </w:tc>
        <w:tc>
          <w:tcPr>
            <w:tcW w:type="dxa" w:w="5083"/>
            <w:shd w:fill="F7F1ED"/>
            <w:vAlign w:val="center"/>
            <w:tcBorders>
              <w:bottom w:val="single" w:sz="4" w:color="E2D4CF"/>
            </w:tcBorders>
          </w:tcPr>
          <w:p>
            <w:pPr>
              <w:spacing w:after="0"/>
            </w:pPr>
            <w:r>
              <w:rPr>
                <w:color w:val="2B2228"/>
                <w:sz w:val="17"/>
              </w:rPr>
              <w:t>Expo EAS + App Store Connect + Play Console.</w:t>
            </w:r>
          </w:p>
        </w:tc>
      </w:tr>
      <w:tr>
        <w:tc>
          <w:tcPr>
            <w:tcW w:type="dxa" w:w="5083"/>
            <w:shd w:fill="F2E9E2"/>
            <w:vAlign w:val="center"/>
            <w:tcBorders>
              <w:bottom w:val="single" w:sz="4" w:color="E2D4CF"/>
            </w:tcBorders>
          </w:tcPr>
          <w:p>
            <w:pPr>
              <w:spacing w:after="0"/>
            </w:pPr>
            <w:r>
              <w:rPr>
                <w:color w:val="2B2228"/>
                <w:sz w:val="17"/>
              </w:rPr>
              <w:t>DNS</w:t>
            </w:r>
          </w:p>
        </w:tc>
        <w:tc>
          <w:tcPr>
            <w:tcW w:type="dxa" w:w="5083"/>
            <w:shd w:fill="F2E9E2"/>
            <w:vAlign w:val="center"/>
            <w:tcBorders>
              <w:bottom w:val="single" w:sz="4" w:color="E2D4CF"/>
            </w:tcBorders>
          </w:tcPr>
          <w:p>
            <w:pPr>
              <w:spacing w:after="0"/>
            </w:pPr>
            <w:r>
              <w:rPr>
                <w:color w:val="2B2228"/>
                <w:sz w:val="17"/>
              </w:rPr>
              <w:t>Cloudflare.</w:t>
            </w:r>
          </w:p>
        </w:tc>
      </w:tr>
    </w:tbl>
    <w:p>
      <w:pPr>
        <w:spacing w:after="40"/>
      </w:pPr>
    </w:p>
    <w:p>
      <w:pPr>
        <w:pStyle w:val="Heading2"/>
      </w:pPr>
      <w:r>
        <w:t>20.1 Repositorio propuesto</w:t>
      </w:r>
    </w:p>
    <w:p>
      <w:pPr>
        <w:keepLines w:val="0"/>
      </w:pPr>
      <w:r>
        <w:t>Estructura de referencia. Codex puede ajustar nombres internos sólo si conserva separación de responsabilidades y no crea nuevas superficies.</w:t>
      </w:r>
    </w:p>
    <w:p>
      <w:pPr>
        <w:pStyle w:val="ListBullet"/>
        <w:spacing w:after="50"/>
        <w:ind w:left="317" w:hanging="173"/>
      </w:pPr>
      <w:r>
        <w:rPr>
          <w:color w:val="2B2228"/>
          <w:sz w:val="18"/>
        </w:rPr>
        <w:t>apps/web — sitio público + BEMARA Personal/PWA</w:t>
      </w:r>
    </w:p>
    <w:p>
      <w:pPr>
        <w:pStyle w:val="ListBullet"/>
        <w:spacing w:after="50"/>
        <w:ind w:left="317" w:hanging="173"/>
      </w:pPr>
      <w:r>
        <w:rPr>
          <w:color w:val="2B2228"/>
          <w:sz w:val="18"/>
        </w:rPr>
        <w:t>apps/mobile — iOS/Android</w:t>
      </w:r>
    </w:p>
    <w:p>
      <w:pPr>
        <w:pStyle w:val="ListBullet"/>
        <w:spacing w:after="50"/>
        <w:ind w:left="317" w:hanging="173"/>
      </w:pPr>
      <w:r>
        <w:rPr>
          <w:color w:val="2B2228"/>
          <w:sz w:val="18"/>
        </w:rPr>
        <w:t>apps/operations — centro interno</w:t>
      </w:r>
    </w:p>
    <w:p>
      <w:pPr>
        <w:pStyle w:val="ListBullet"/>
        <w:spacing w:after="50"/>
        <w:ind w:left="317" w:hanging="173"/>
      </w:pPr>
      <w:r>
        <w:rPr>
          <w:color w:val="2B2228"/>
          <w:sz w:val="18"/>
        </w:rPr>
        <w:t>apps/api — NestJS API modular</w:t>
      </w:r>
    </w:p>
    <w:p>
      <w:pPr>
        <w:pStyle w:val="ListBullet"/>
        <w:spacing w:after="50"/>
        <w:ind w:left="317" w:hanging="173"/>
      </w:pPr>
      <w:r>
        <w:rPr>
          <w:color w:val="2B2228"/>
          <w:sz w:val="18"/>
        </w:rPr>
        <w:t>apps/workers — jobs y automatizaciones</w:t>
      </w:r>
    </w:p>
    <w:p>
      <w:pPr>
        <w:pStyle w:val="ListBullet"/>
        <w:spacing w:after="50"/>
        <w:ind w:left="317" w:hanging="173"/>
      </w:pPr>
      <w:r>
        <w:rPr>
          <w:color w:val="2B2228"/>
          <w:sz w:val="18"/>
        </w:rPr>
        <w:t>packages/design-tokens — colores, tipografía, spacing, motion</w:t>
      </w:r>
    </w:p>
    <w:p>
      <w:pPr>
        <w:pStyle w:val="ListBullet"/>
        <w:spacing w:after="50"/>
        <w:ind w:left="317" w:hanging="173"/>
      </w:pPr>
      <w:r>
        <w:rPr>
          <w:color w:val="2B2228"/>
          <w:sz w:val="18"/>
        </w:rPr>
        <w:t>packages/ui-web — primitives y componentes BEMARA web</w:t>
      </w:r>
    </w:p>
    <w:p>
      <w:pPr>
        <w:pStyle w:val="ListBullet"/>
        <w:spacing w:after="50"/>
        <w:ind w:left="317" w:hanging="173"/>
      </w:pPr>
      <w:r>
        <w:rPr>
          <w:color w:val="2B2228"/>
          <w:sz w:val="18"/>
        </w:rPr>
        <w:t>packages/ui-mobile — primitives y componentes BEMARA mobile</w:t>
      </w:r>
    </w:p>
    <w:p>
      <w:pPr>
        <w:pStyle w:val="ListBullet"/>
        <w:spacing w:after="50"/>
        <w:ind w:left="317" w:hanging="173"/>
      </w:pPr>
      <w:r>
        <w:rPr>
          <w:color w:val="2B2228"/>
          <w:sz w:val="18"/>
        </w:rPr>
        <w:t>packages/domain — tipos/contratos de negocio</w:t>
      </w:r>
    </w:p>
    <w:p>
      <w:pPr>
        <w:pStyle w:val="ListBullet"/>
        <w:spacing w:after="50"/>
        <w:ind w:left="317" w:hanging="173"/>
      </w:pPr>
      <w:r>
        <w:rPr>
          <w:color w:val="2B2228"/>
          <w:sz w:val="18"/>
        </w:rPr>
        <w:t>packages/i18n — es-MX/en-US</w:t>
      </w:r>
    </w:p>
    <w:p>
      <w:pPr>
        <w:pStyle w:val="ListBullet"/>
        <w:spacing w:after="50"/>
        <w:ind w:left="317" w:hanging="173"/>
      </w:pPr>
      <w:r>
        <w:rPr>
          <w:color w:val="2B2228"/>
          <w:sz w:val="18"/>
        </w:rPr>
        <w:t>packages/validation — schemas compartidos</w:t>
      </w:r>
    </w:p>
    <w:p>
      <w:pPr>
        <w:pStyle w:val="ListBullet"/>
        <w:spacing w:after="50"/>
        <w:ind w:left="317" w:hanging="173"/>
      </w:pPr>
      <w:r>
        <w:rPr>
          <w:color w:val="2B2228"/>
          <w:sz w:val="18"/>
        </w:rPr>
        <w:t>packages/sdk — cliente tipado</w:t>
      </w:r>
    </w:p>
    <w:p>
      <w:pPr>
        <w:pStyle w:val="ListBullet"/>
        <w:spacing w:after="50"/>
        <w:ind w:left="317" w:hanging="173"/>
      </w:pPr>
      <w:r>
        <w:rPr>
          <w:color w:val="2B2228"/>
          <w:sz w:val="18"/>
        </w:rPr>
        <w:t>packages/safety — políticas y contracts</w:t>
      </w:r>
    </w:p>
    <w:p>
      <w:pPr>
        <w:pStyle w:val="ListBullet"/>
        <w:spacing w:after="50"/>
        <w:ind w:left="317" w:hanging="173"/>
      </w:pPr>
      <w:r>
        <w:rPr>
          <w:color w:val="2B2228"/>
          <w:sz w:val="18"/>
        </w:rPr>
        <w:t>packages/config — feature flags y configuración no secreta</w:t>
      </w:r>
    </w:p>
    <w:p>
      <w:pPr>
        <w:pStyle w:val="Heading1"/>
      </w:pPr>
      <w:r>
        <w:t>21. Arquitectura de seguridad</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pStyle w:val="ListBullet"/>
        <w:spacing w:after="50"/>
        <w:ind w:left="317" w:hanging="173"/>
      </w:pPr>
      <w:r>
        <w:rPr>
          <w:color w:val="2B2228"/>
          <w:sz w:val="18"/>
        </w:rPr>
        <w:t>RLS por usuario/tenant personal; Operations no puede saltarse controles sin permisos explícitos y auditados.</w:t>
      </w:r>
    </w:p>
    <w:p>
      <w:pPr>
        <w:pStyle w:val="ListBullet"/>
        <w:spacing w:after="50"/>
        <w:ind w:left="317" w:hanging="173"/>
      </w:pPr>
      <w:r>
        <w:rPr>
          <w:color w:val="2B2228"/>
          <w:sz w:val="18"/>
        </w:rPr>
        <w:t>Cifrado en tránsito y en reposo; considerar envelope encryption para campos/objetos especialmente sensibles.</w:t>
      </w:r>
    </w:p>
    <w:p>
      <w:pPr>
        <w:pStyle w:val="ListBullet"/>
        <w:spacing w:after="50"/>
        <w:ind w:left="317" w:hanging="173"/>
      </w:pPr>
      <w:r>
        <w:rPr>
          <w:color w:val="2B2228"/>
          <w:sz w:val="18"/>
        </w:rPr>
        <w:t>Secrets sólo en secret manager/env del runtime; nunca git ni frontend.</w:t>
      </w:r>
    </w:p>
    <w:p>
      <w:pPr>
        <w:pStyle w:val="ListBullet"/>
        <w:spacing w:after="50"/>
        <w:ind w:left="317" w:hanging="173"/>
      </w:pPr>
      <w:r>
        <w:rPr>
          <w:color w:val="2B2228"/>
          <w:sz w:val="18"/>
        </w:rPr>
        <w:t>OAuth tokens cifrados y revocables.</w:t>
      </w:r>
    </w:p>
    <w:p>
      <w:pPr>
        <w:pStyle w:val="ListBullet"/>
        <w:spacing w:after="50"/>
        <w:ind w:left="317" w:hanging="173"/>
      </w:pPr>
      <w:r>
        <w:rPr>
          <w:color w:val="2B2228"/>
          <w:sz w:val="18"/>
        </w:rPr>
        <w:t>Signed URLs de corta duración para documentos.</w:t>
      </w:r>
    </w:p>
    <w:p>
      <w:pPr>
        <w:pStyle w:val="ListBullet"/>
        <w:spacing w:after="50"/>
        <w:ind w:left="317" w:hanging="173"/>
      </w:pPr>
      <w:r>
        <w:rPr>
          <w:color w:val="2B2228"/>
          <w:sz w:val="18"/>
        </w:rPr>
        <w:t>Audit log para cambios de consentimiento, exportaciones, borrados, acciones de LENA y accesos internos sensibles.</w:t>
      </w:r>
    </w:p>
    <w:p>
      <w:pPr>
        <w:pStyle w:val="ListBullet"/>
        <w:spacing w:after="50"/>
        <w:ind w:left="317" w:hanging="173"/>
      </w:pPr>
      <w:r>
        <w:rPr>
          <w:color w:val="2B2228"/>
          <w:sz w:val="18"/>
        </w:rPr>
        <w:t>Session/device management; biometría/local secure storage en mobile.</w:t>
      </w:r>
    </w:p>
    <w:p>
      <w:pPr>
        <w:pStyle w:val="ListBullet"/>
        <w:spacing w:after="50"/>
        <w:ind w:left="317" w:hanging="173"/>
      </w:pPr>
      <w:r>
        <w:rPr>
          <w:color w:val="2B2228"/>
          <w:sz w:val="18"/>
        </w:rPr>
        <w:t>Rate limiting, abuse protection, CSP, CSRF donde aplique, sanitización y validation en API.</w:t>
      </w:r>
    </w:p>
    <w:p>
      <w:pPr>
        <w:pStyle w:val="ListBullet"/>
        <w:spacing w:after="50"/>
        <w:ind w:left="317" w:hanging="173"/>
      </w:pPr>
      <w:r>
        <w:rPr>
          <w:color w:val="2B2228"/>
          <w:sz w:val="18"/>
        </w:rPr>
        <w:t>Data classification y redaction antes de logs/observability.</w:t>
      </w:r>
    </w:p>
    <w:p>
      <w:pPr>
        <w:pStyle w:val="ListBullet"/>
        <w:spacing w:after="50"/>
        <w:ind w:left="317" w:hanging="173"/>
      </w:pPr>
      <w:r>
        <w:rPr>
          <w:color w:val="2B2228"/>
          <w:sz w:val="18"/>
        </w:rPr>
        <w:t>Security review antes de cualquier feature clínica, bancaria o comunitaria.</w:t>
      </w:r>
    </w:p>
    <w:p>
      <w:pPr>
        <w:pStyle w:val="Heading1"/>
      </w:pPr>
      <w:r>
        <w:t>22. Pagos, planes y entitlements</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No hardcodear precios. La arquitectura comercial debe permitir cambiar precios, periodos, trials y límites sin redeploy de lógica de producto.</w:t>
      </w:r>
    </w:p>
    <w:p>
      <w:pPr>
        <w:pStyle w:val="ListBullet"/>
        <w:spacing w:after="50"/>
        <w:ind w:left="317" w:hanging="173"/>
      </w:pPr>
      <w:r>
        <w:rPr>
          <w:color w:val="2B2228"/>
          <w:sz w:val="18"/>
        </w:rPr>
        <w:t>Planes conceptuales: Free / Personal / Intelligence.</w:t>
      </w:r>
    </w:p>
    <w:p>
      <w:pPr>
        <w:pStyle w:val="ListBullet"/>
        <w:spacing w:after="50"/>
        <w:ind w:left="317" w:hanging="173"/>
      </w:pPr>
      <w:r>
        <w:rPr>
          <w:color w:val="2B2228"/>
          <w:sz w:val="18"/>
        </w:rPr>
        <w:t>No vender “6 módulos vs 8 módulos”. Todos los dominios pertenecen a la plataforma; el pricing se basa en profundidad/capacidad de inteligencia, integraciones, automatización y consumo.</w:t>
      </w:r>
    </w:p>
    <w:p>
      <w:pPr>
        <w:pStyle w:val="ListBullet"/>
        <w:spacing w:after="50"/>
        <w:ind w:left="317" w:hanging="173"/>
      </w:pPr>
      <w:r>
        <w:rPr>
          <w:color w:val="2B2228"/>
          <w:sz w:val="18"/>
        </w:rPr>
        <w:t>Intelligence puede incluir Smart Mail/@bemara.me, predicción avanzada, mayor voz, automatizaciones e integraciones; precio final pendiente.</w:t>
      </w:r>
    </w:p>
    <w:p>
      <w:pPr>
        <w:pStyle w:val="ListBullet"/>
        <w:spacing w:after="50"/>
        <w:ind w:left="317" w:hanging="173"/>
      </w:pPr>
      <w:r>
        <w:rPr>
          <w:color w:val="2B2228"/>
          <w:sz w:val="18"/>
        </w:rPr>
        <w:t>Mensual y anual; pricing final se definirá con scouting y unit economics.</w:t>
      </w:r>
    </w:p>
    <w:p>
      <w:pPr>
        <w:pStyle w:val="ListBullet"/>
        <w:spacing w:after="50"/>
        <w:ind w:left="317" w:hanging="173"/>
      </w:pPr>
      <w:r>
        <w:rPr>
          <w:color w:val="2B2228"/>
          <w:sz w:val="18"/>
        </w:rPr>
        <w:t>Conekta para web México por menor tarifa base actual; adapter preparado para Stripe/internacional.</w:t>
      </w:r>
    </w:p>
    <w:p>
      <w:pPr>
        <w:pStyle w:val="ListBullet"/>
        <w:spacing w:after="50"/>
        <w:ind w:left="317" w:hanging="173"/>
      </w:pPr>
      <w:r>
        <w:rPr>
          <w:color w:val="2B2228"/>
          <w:sz w:val="18"/>
        </w:rPr>
        <w:t>En apps, cumplir políticas actuales de Apple/Google para suscripciones digitales.</w:t>
      </w:r>
    </w:p>
    <w:p>
      <w:pPr>
        <w:pStyle w:val="ListBullet"/>
        <w:spacing w:after="50"/>
        <w:ind w:left="317" w:hanging="173"/>
      </w:pPr>
      <w:r>
        <w:rPr>
          <w:color w:val="2B2228"/>
          <w:sz w:val="18"/>
        </w:rPr>
        <w:t>Entitlement Engine unifica Conekta, Apple y Google y evita pagos duplicados.</w:t>
      </w:r>
    </w:p>
    <w:p>
      <w:pPr>
        <w:pStyle w:val="Heading1"/>
      </w:pPr>
      <w:r>
        <w:t>23. Community y Clinical: feature flags futuros</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pStyle w:val="ListBullet"/>
        <w:spacing w:after="50"/>
        <w:ind w:left="317" w:hanging="173"/>
      </w:pPr>
      <w:r>
        <w:rPr>
          <w:color w:val="2B2228"/>
          <w:sz w:val="18"/>
        </w:rPr>
        <w:t>community.enabled = false en lanzamiento.</w:t>
      </w:r>
    </w:p>
    <w:p>
      <w:pPr>
        <w:pStyle w:val="ListBullet"/>
        <w:spacing w:after="50"/>
        <w:ind w:left="317" w:hanging="173"/>
      </w:pPr>
      <w:r>
        <w:rPr>
          <w:color w:val="2B2228"/>
          <w:sz w:val="18"/>
        </w:rPr>
        <w:t>Activación de Community depende de WAU, densidad geográfica, representación de etapas y actividad; no sólo registros acumulados.</w:t>
      </w:r>
    </w:p>
    <w:p>
      <w:pPr>
        <w:pStyle w:val="ListBullet"/>
        <w:spacing w:after="50"/>
        <w:ind w:left="317" w:hanging="173"/>
      </w:pPr>
      <w:r>
        <w:rPr>
          <w:color w:val="2B2228"/>
          <w:sz w:val="18"/>
        </w:rPr>
        <w:t>Community será parte de BEMARA Mobile/PWA, no app separada.</w:t>
      </w:r>
    </w:p>
    <w:p>
      <w:pPr>
        <w:pStyle w:val="ListBullet"/>
        <w:spacing w:after="50"/>
        <w:ind w:left="317" w:hanging="173"/>
      </w:pPr>
      <w:r>
        <w:rPr>
          <w:color w:val="2B2228"/>
          <w:sz w:val="18"/>
        </w:rPr>
        <w:t>clinical.enabled = false en lanzamiento.</w:t>
      </w:r>
    </w:p>
    <w:p>
      <w:pPr>
        <w:pStyle w:val="ListBullet"/>
        <w:spacing w:after="50"/>
        <w:ind w:left="317" w:hanging="173"/>
      </w:pPr>
      <w:r>
        <w:rPr>
          <w:color w:val="2B2228"/>
          <w:sz w:val="18"/>
        </w:rPr>
        <w:t>No construir portales clínicos, agendas de doctores ni teleconsulta ahora.</w:t>
      </w:r>
    </w:p>
    <w:p>
      <w:pPr>
        <w:pStyle w:val="ListBullet"/>
        <w:spacing w:after="50"/>
        <w:ind w:left="317" w:hanging="173"/>
      </w:pPr>
      <w:r>
        <w:rPr>
          <w:color w:val="2B2228"/>
          <w:sz w:val="18"/>
        </w:rPr>
        <w:t>La arquitectura debe permitir Health Passport y compartición selectiva sin convertir BEMARA en proveedor médico.</w:t>
      </w:r>
    </w:p>
    <w:p>
      <w:pPr>
        <w:pStyle w:val="Heading1"/>
      </w:pPr>
      <w:r>
        <w:t>24. Integraciones: orden y política</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241820"/>
            <w:vAlign w:val="center"/>
          </w:tcPr>
          <w:p>
            <w:r>
              <w:rPr>
                <w:b/>
                <w:color w:val="FFFFFF"/>
                <w:sz w:val="17"/>
              </w:rPr>
              <w:t>Integración</w:t>
            </w:r>
          </w:p>
        </w:tc>
        <w:tc>
          <w:tcPr>
            <w:tcW w:type="dxa" w:w="3389"/>
            <w:shd w:fill="241820"/>
            <w:vAlign w:val="center"/>
          </w:tcPr>
          <w:p>
            <w:r>
              <w:rPr>
                <w:b/>
                <w:color w:val="FFFFFF"/>
                <w:sz w:val="17"/>
              </w:rPr>
              <w:t>Lanzamiento</w:t>
            </w:r>
          </w:p>
        </w:tc>
        <w:tc>
          <w:tcPr>
            <w:tcW w:type="dxa" w:w="3389"/>
            <w:shd w:fill="241820"/>
            <w:vAlign w:val="center"/>
          </w:tcPr>
          <w:p>
            <w:r>
              <w:rPr>
                <w:b/>
                <w:color w:val="FFFFFF"/>
                <w:sz w:val="17"/>
              </w:rPr>
              <w:t>Notas</w:t>
            </w:r>
          </w:p>
        </w:tc>
      </w:tr>
      <w:tr>
        <w:tc>
          <w:tcPr>
            <w:tcW w:type="dxa" w:w="3389"/>
            <w:shd w:fill="F7F1ED"/>
            <w:vAlign w:val="center"/>
            <w:tcBorders>
              <w:bottom w:val="single" w:sz="4" w:color="E2D4CF"/>
            </w:tcBorders>
          </w:tcPr>
          <w:p>
            <w:pPr>
              <w:spacing w:after="0"/>
            </w:pPr>
            <w:r>
              <w:rPr>
                <w:color w:val="2B2228"/>
                <w:sz w:val="17"/>
              </w:rPr>
              <w:t>Cámara/archivos</w:t>
            </w:r>
          </w:p>
        </w:tc>
        <w:tc>
          <w:tcPr>
            <w:tcW w:type="dxa" w:w="3389"/>
            <w:shd w:fill="F7F1ED"/>
            <w:vAlign w:val="center"/>
            <w:tcBorders>
              <w:bottom w:val="single" w:sz="4" w:color="E2D4CF"/>
            </w:tcBorders>
          </w:tcPr>
          <w:p>
            <w:pPr>
              <w:spacing w:after="0"/>
            </w:pPr>
            <w:r>
              <w:rPr>
                <w:color w:val="2B2228"/>
                <w:sz w:val="17"/>
              </w:rPr>
              <w:t>Sí</w:t>
            </w:r>
          </w:p>
        </w:tc>
        <w:tc>
          <w:tcPr>
            <w:tcW w:type="dxa" w:w="3389"/>
            <w:shd w:fill="F7F1ED"/>
            <w:vAlign w:val="center"/>
            <w:tcBorders>
              <w:bottom w:val="single" w:sz="4" w:color="E2D4CF"/>
            </w:tcBorders>
          </w:tcPr>
          <w:p>
            <w:pPr>
              <w:spacing w:after="0"/>
            </w:pPr>
            <w:r>
              <w:rPr>
                <w:color w:val="2B2228"/>
                <w:sz w:val="17"/>
              </w:rPr>
              <w:t>Captura de documentos, comida, recibos.</w:t>
            </w:r>
          </w:p>
        </w:tc>
      </w:tr>
      <w:tr>
        <w:tc>
          <w:tcPr>
            <w:tcW w:type="dxa" w:w="3389"/>
            <w:shd w:fill="F2E9E2"/>
            <w:vAlign w:val="center"/>
            <w:tcBorders>
              <w:bottom w:val="single" w:sz="4" w:color="E2D4CF"/>
            </w:tcBorders>
          </w:tcPr>
          <w:p>
            <w:pPr>
              <w:spacing w:after="0"/>
            </w:pPr>
            <w:r>
              <w:rPr>
                <w:color w:val="2B2228"/>
                <w:sz w:val="17"/>
              </w:rPr>
              <w:t>Push/APNs/FCM</w:t>
            </w:r>
          </w:p>
        </w:tc>
        <w:tc>
          <w:tcPr>
            <w:tcW w:type="dxa" w:w="3389"/>
            <w:shd w:fill="F2E9E2"/>
            <w:vAlign w:val="center"/>
            <w:tcBorders>
              <w:bottom w:val="single" w:sz="4" w:color="E2D4CF"/>
            </w:tcBorders>
          </w:tcPr>
          <w:p>
            <w:pPr>
              <w:spacing w:after="0"/>
            </w:pPr>
            <w:r>
              <w:rPr>
                <w:color w:val="2B2228"/>
                <w:sz w:val="17"/>
              </w:rPr>
              <w:t>Sí</w:t>
            </w:r>
          </w:p>
        </w:tc>
        <w:tc>
          <w:tcPr>
            <w:tcW w:type="dxa" w:w="3389"/>
            <w:shd w:fill="F2E9E2"/>
            <w:vAlign w:val="center"/>
            <w:tcBorders>
              <w:bottom w:val="single" w:sz="4" w:color="E2D4CF"/>
            </w:tcBorders>
          </w:tcPr>
          <w:p>
            <w:pPr>
              <w:spacing w:after="0"/>
            </w:pPr>
            <w:r>
              <w:rPr>
                <w:color w:val="2B2228"/>
                <w:sz w:val="17"/>
              </w:rPr>
              <w:t>Notification Intelligence.</w:t>
            </w:r>
          </w:p>
        </w:tc>
      </w:tr>
      <w:tr>
        <w:tc>
          <w:tcPr>
            <w:tcW w:type="dxa" w:w="3389"/>
            <w:shd w:fill="F7F1ED"/>
            <w:vAlign w:val="center"/>
            <w:tcBorders>
              <w:bottom w:val="single" w:sz="4" w:color="E2D4CF"/>
            </w:tcBorders>
          </w:tcPr>
          <w:p>
            <w:pPr>
              <w:spacing w:after="0"/>
            </w:pPr>
            <w:r>
              <w:rPr>
                <w:color w:val="2B2228"/>
                <w:sz w:val="17"/>
              </w:rPr>
              <w:t>Calendario del dispositivo/Google</w:t>
            </w:r>
          </w:p>
        </w:tc>
        <w:tc>
          <w:tcPr>
            <w:tcW w:type="dxa" w:w="3389"/>
            <w:shd w:fill="F7F1ED"/>
            <w:vAlign w:val="center"/>
            <w:tcBorders>
              <w:bottom w:val="single" w:sz="4" w:color="E2D4CF"/>
            </w:tcBorders>
          </w:tcPr>
          <w:p>
            <w:pPr>
              <w:spacing w:after="0"/>
            </w:pPr>
            <w:r>
              <w:rPr>
                <w:color w:val="2B2228"/>
                <w:sz w:val="17"/>
              </w:rPr>
              <w:t>Sí o fase temprana</w:t>
            </w:r>
          </w:p>
        </w:tc>
        <w:tc>
          <w:tcPr>
            <w:tcW w:type="dxa" w:w="3389"/>
            <w:shd w:fill="F7F1ED"/>
            <w:vAlign w:val="center"/>
            <w:tcBorders>
              <w:bottom w:val="single" w:sz="4" w:color="E2D4CF"/>
            </w:tcBorders>
          </w:tcPr>
          <w:p>
            <w:pPr>
              <w:spacing w:after="0"/>
            </w:pPr>
            <w:r>
              <w:rPr>
                <w:color w:val="2B2228"/>
                <w:sz w:val="17"/>
              </w:rPr>
              <w:t>OAuth y permisos mínimos.</w:t>
            </w:r>
          </w:p>
        </w:tc>
      </w:tr>
      <w:tr>
        <w:tc>
          <w:tcPr>
            <w:tcW w:type="dxa" w:w="3389"/>
            <w:shd w:fill="F2E9E2"/>
            <w:vAlign w:val="center"/>
            <w:tcBorders>
              <w:bottom w:val="single" w:sz="4" w:color="E2D4CF"/>
            </w:tcBorders>
          </w:tcPr>
          <w:p>
            <w:pPr>
              <w:spacing w:after="0"/>
            </w:pPr>
            <w:r>
              <w:rPr>
                <w:color w:val="2B2228"/>
                <w:sz w:val="17"/>
              </w:rPr>
              <w:t>Gmail/Outlook</w:t>
            </w:r>
          </w:p>
        </w:tc>
        <w:tc>
          <w:tcPr>
            <w:tcW w:type="dxa" w:w="3389"/>
            <w:shd w:fill="F2E9E2"/>
            <w:vAlign w:val="center"/>
            <w:tcBorders>
              <w:bottom w:val="single" w:sz="4" w:color="E2D4CF"/>
            </w:tcBorders>
          </w:tcPr>
          <w:p>
            <w:pPr>
              <w:spacing w:after="0"/>
            </w:pPr>
            <w:r>
              <w:rPr>
                <w:color w:val="2B2228"/>
                <w:sz w:val="17"/>
              </w:rPr>
              <w:t>Fase Executive</w:t>
            </w:r>
          </w:p>
        </w:tc>
        <w:tc>
          <w:tcPr>
            <w:tcW w:type="dxa" w:w="3389"/>
            <w:shd w:fill="F2E9E2"/>
            <w:vAlign w:val="center"/>
            <w:tcBorders>
              <w:bottom w:val="single" w:sz="4" w:color="E2D4CF"/>
            </w:tcBorders>
          </w:tcPr>
          <w:p>
            <w:pPr>
              <w:spacing w:after="0"/>
            </w:pPr>
            <w:r>
              <w:rPr>
                <w:color w:val="2B2228"/>
                <w:sz w:val="17"/>
              </w:rPr>
              <w:t>Conexión opcional; BEMARA Mail propio puede salir antes.</w:t>
            </w:r>
          </w:p>
        </w:tc>
      </w:tr>
      <w:tr>
        <w:tc>
          <w:tcPr>
            <w:tcW w:type="dxa" w:w="3389"/>
            <w:shd w:fill="F7F1ED"/>
            <w:vAlign w:val="center"/>
            <w:tcBorders>
              <w:bottom w:val="single" w:sz="4" w:color="E2D4CF"/>
            </w:tcBorders>
          </w:tcPr>
          <w:p>
            <w:pPr>
              <w:spacing w:after="0"/>
            </w:pPr>
            <w:r>
              <w:rPr>
                <w:color w:val="2B2228"/>
                <w:sz w:val="17"/>
              </w:rPr>
              <w:t>Apple Health/Health Connect</w:t>
            </w:r>
          </w:p>
        </w:tc>
        <w:tc>
          <w:tcPr>
            <w:tcW w:type="dxa" w:w="3389"/>
            <w:shd w:fill="F7F1ED"/>
            <w:vAlign w:val="center"/>
            <w:tcBorders>
              <w:bottom w:val="single" w:sz="4" w:color="E2D4CF"/>
            </w:tcBorders>
          </w:tcPr>
          <w:p>
            <w:pPr>
              <w:spacing w:after="0"/>
            </w:pPr>
            <w:r>
              <w:rPr>
                <w:color w:val="2B2228"/>
                <w:sz w:val="17"/>
              </w:rPr>
              <w:t>Fase temprana</w:t>
            </w:r>
          </w:p>
        </w:tc>
        <w:tc>
          <w:tcPr>
            <w:tcW w:type="dxa" w:w="3389"/>
            <w:shd w:fill="F7F1ED"/>
            <w:vAlign w:val="center"/>
            <w:tcBorders>
              <w:bottom w:val="single" w:sz="4" w:color="E2D4CF"/>
            </w:tcBorders>
          </w:tcPr>
          <w:p>
            <w:pPr>
              <w:spacing w:after="0"/>
            </w:pPr>
            <w:r>
              <w:rPr>
                <w:color w:val="2B2228"/>
                <w:sz w:val="17"/>
              </w:rPr>
              <w:t>Sólo datos autorizados y útiles.</w:t>
            </w:r>
          </w:p>
        </w:tc>
      </w:tr>
      <w:tr>
        <w:tc>
          <w:tcPr>
            <w:tcW w:type="dxa" w:w="3389"/>
            <w:shd w:fill="F2E9E2"/>
            <w:vAlign w:val="center"/>
            <w:tcBorders>
              <w:bottom w:val="single" w:sz="4" w:color="E2D4CF"/>
            </w:tcBorders>
          </w:tcPr>
          <w:p>
            <w:pPr>
              <w:spacing w:after="0"/>
            </w:pPr>
            <w:r>
              <w:rPr>
                <w:color w:val="2B2228"/>
                <w:sz w:val="17"/>
              </w:rPr>
              <w:t>Conekta/IAP/Play Billing</w:t>
            </w:r>
          </w:p>
        </w:tc>
        <w:tc>
          <w:tcPr>
            <w:tcW w:type="dxa" w:w="3389"/>
            <w:shd w:fill="F2E9E2"/>
            <w:vAlign w:val="center"/>
            <w:tcBorders>
              <w:bottom w:val="single" w:sz="4" w:color="E2D4CF"/>
            </w:tcBorders>
          </w:tcPr>
          <w:p>
            <w:pPr>
              <w:spacing w:after="0"/>
            </w:pPr>
            <w:r>
              <w:rPr>
                <w:color w:val="2B2228"/>
                <w:sz w:val="17"/>
              </w:rPr>
              <w:t>Antes de monetización</w:t>
            </w:r>
          </w:p>
        </w:tc>
        <w:tc>
          <w:tcPr>
            <w:tcW w:type="dxa" w:w="3389"/>
            <w:shd w:fill="F2E9E2"/>
            <w:vAlign w:val="center"/>
            <w:tcBorders>
              <w:bottom w:val="single" w:sz="4" w:color="E2D4CF"/>
            </w:tcBorders>
          </w:tcPr>
          <w:p>
            <w:pPr>
              <w:spacing w:after="0"/>
            </w:pPr>
            <w:r>
              <w:rPr>
                <w:color w:val="2B2228"/>
                <w:sz w:val="17"/>
              </w:rPr>
              <w:t>Entitlements unificados.</w:t>
            </w:r>
          </w:p>
        </w:tc>
      </w:tr>
      <w:tr>
        <w:tc>
          <w:tcPr>
            <w:tcW w:type="dxa" w:w="3389"/>
            <w:shd w:fill="F7F1ED"/>
            <w:vAlign w:val="center"/>
            <w:tcBorders>
              <w:bottom w:val="single" w:sz="4" w:color="E2D4CF"/>
            </w:tcBorders>
          </w:tcPr>
          <w:p>
            <w:pPr>
              <w:spacing w:after="0"/>
            </w:pPr>
            <w:r>
              <w:rPr>
                <w:color w:val="2B2228"/>
                <w:sz w:val="17"/>
              </w:rPr>
              <w:t>Banca agregada</w:t>
            </w:r>
          </w:p>
        </w:tc>
        <w:tc>
          <w:tcPr>
            <w:tcW w:type="dxa" w:w="3389"/>
            <w:shd w:fill="F7F1ED"/>
            <w:vAlign w:val="center"/>
            <w:tcBorders>
              <w:bottom w:val="single" w:sz="4" w:color="E2D4CF"/>
            </w:tcBorders>
          </w:tcPr>
          <w:p>
            <w:pPr>
              <w:spacing w:after="0"/>
            </w:pPr>
            <w:r>
              <w:rPr>
                <w:color w:val="2B2228"/>
                <w:sz w:val="17"/>
              </w:rPr>
              <w:t>Después</w:t>
            </w:r>
          </w:p>
        </w:tc>
        <w:tc>
          <w:tcPr>
            <w:tcW w:type="dxa" w:w="3389"/>
            <w:shd w:fill="F7F1ED"/>
            <w:vAlign w:val="center"/>
            <w:tcBorders>
              <w:bottom w:val="single" w:sz="4" w:color="E2D4CF"/>
            </w:tcBorders>
          </w:tcPr>
          <w:p>
            <w:pPr>
              <w:spacing w:after="0"/>
            </w:pPr>
            <w:r>
              <w:rPr>
                <w:color w:val="2B2228"/>
                <w:sz w:val="17"/>
              </w:rPr>
              <w:t>Adapter listo; proveedor se decide con costos/legal.</w:t>
            </w:r>
          </w:p>
        </w:tc>
      </w:tr>
      <w:tr>
        <w:tc>
          <w:tcPr>
            <w:tcW w:type="dxa" w:w="3389"/>
            <w:shd w:fill="F2E9E2"/>
            <w:vAlign w:val="center"/>
            <w:tcBorders>
              <w:bottom w:val="single" w:sz="4" w:color="E2D4CF"/>
            </w:tcBorders>
          </w:tcPr>
          <w:p>
            <w:pPr>
              <w:spacing w:after="0"/>
            </w:pPr>
            <w:r>
              <w:rPr>
                <w:color w:val="2B2228"/>
                <w:sz w:val="17"/>
              </w:rPr>
              <w:t>WhatsApp/SMS</w:t>
            </w:r>
          </w:p>
        </w:tc>
        <w:tc>
          <w:tcPr>
            <w:tcW w:type="dxa" w:w="3389"/>
            <w:shd w:fill="F2E9E2"/>
            <w:vAlign w:val="center"/>
            <w:tcBorders>
              <w:bottom w:val="single" w:sz="4" w:color="E2D4CF"/>
            </w:tcBorders>
          </w:tcPr>
          <w:p>
            <w:pPr>
              <w:spacing w:after="0"/>
            </w:pPr>
            <w:r>
              <w:rPr>
                <w:color w:val="2B2228"/>
                <w:sz w:val="17"/>
              </w:rPr>
              <w:t>Después</w:t>
            </w:r>
          </w:p>
        </w:tc>
        <w:tc>
          <w:tcPr>
            <w:tcW w:type="dxa" w:w="3389"/>
            <w:shd w:fill="F2E9E2"/>
            <w:vAlign w:val="center"/>
            <w:tcBorders>
              <w:bottom w:val="single" w:sz="4" w:color="E2D4CF"/>
            </w:tcBorders>
          </w:tcPr>
          <w:p>
            <w:pPr>
              <w:spacing w:after="0"/>
            </w:pPr>
            <w:r>
              <w:rPr>
                <w:color w:val="2B2228"/>
                <w:sz w:val="17"/>
              </w:rPr>
              <w:t>Sólo si aporta valor y unit economics.</w:t>
            </w:r>
          </w:p>
        </w:tc>
      </w:tr>
      <w:tr>
        <w:tc>
          <w:tcPr>
            <w:tcW w:type="dxa" w:w="3389"/>
            <w:shd w:fill="F7F1ED"/>
            <w:vAlign w:val="center"/>
            <w:tcBorders>
              <w:bottom w:val="single" w:sz="4" w:color="E2D4CF"/>
            </w:tcBorders>
          </w:tcPr>
          <w:p>
            <w:pPr>
              <w:spacing w:after="0"/>
            </w:pPr>
            <w:r>
              <w:rPr>
                <w:color w:val="2B2228"/>
                <w:sz w:val="17"/>
              </w:rPr>
              <w:t>Community/IRL</w:t>
            </w:r>
          </w:p>
        </w:tc>
        <w:tc>
          <w:tcPr>
            <w:tcW w:type="dxa" w:w="3389"/>
            <w:shd w:fill="F7F1ED"/>
            <w:vAlign w:val="center"/>
            <w:tcBorders>
              <w:bottom w:val="single" w:sz="4" w:color="E2D4CF"/>
            </w:tcBorders>
          </w:tcPr>
          <w:p>
            <w:pPr>
              <w:spacing w:after="0"/>
            </w:pPr>
            <w:r>
              <w:rPr>
                <w:color w:val="2B2228"/>
                <w:sz w:val="17"/>
              </w:rPr>
              <w:t>Después</w:t>
            </w:r>
          </w:p>
        </w:tc>
        <w:tc>
          <w:tcPr>
            <w:tcW w:type="dxa" w:w="3389"/>
            <w:shd w:fill="F7F1ED"/>
            <w:vAlign w:val="center"/>
            <w:tcBorders>
              <w:bottom w:val="single" w:sz="4" w:color="E2D4CF"/>
            </w:tcBorders>
          </w:tcPr>
          <w:p>
            <w:pPr>
              <w:spacing w:after="0"/>
            </w:pPr>
            <w:r>
              <w:rPr>
                <w:color w:val="2B2228"/>
                <w:sz w:val="17"/>
              </w:rPr>
              <w:t>Feature flag.</w:t>
            </w:r>
          </w:p>
        </w:tc>
      </w:tr>
    </w:tbl>
    <w:p>
      <w:pPr>
        <w:spacing w:after="40"/>
      </w:pPr>
    </w:p>
    <w:p>
      <w:pPr>
        <w:pStyle w:val="Heading1"/>
      </w:pPr>
      <w:r>
        <w:t>25. Diseño de gráficas e inteligencia visual</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pStyle w:val="ListBullet"/>
        <w:spacing w:after="50"/>
        <w:ind w:left="317" w:hanging="173"/>
      </w:pPr>
      <w:r>
        <w:rPr>
          <w:color w:val="2B2228"/>
          <w:sz w:val="18"/>
        </w:rPr>
        <w:t>No dashboards genéricos. Cada visualización responde una pregunta personal.</w:t>
      </w:r>
    </w:p>
    <w:p>
      <w:pPr>
        <w:pStyle w:val="ListBullet"/>
        <w:spacing w:after="50"/>
        <w:ind w:left="317" w:hanging="173"/>
      </w:pPr>
      <w:r>
        <w:rPr>
          <w:color w:val="2B2228"/>
          <w:sz w:val="18"/>
        </w:rPr>
        <w:t>Cruces permitidos: sueño × ánimo, carga × energía, dinero × estrés, actividad × bienestar, agenda × capacidad, etc.</w:t>
      </w:r>
    </w:p>
    <w:p>
      <w:pPr>
        <w:pStyle w:val="ListBullet"/>
        <w:spacing w:after="50"/>
        <w:ind w:left="317" w:hanging="173"/>
      </w:pPr>
      <w:r>
        <w:rPr>
          <w:color w:val="2B2228"/>
          <w:sz w:val="18"/>
        </w:rPr>
        <w:t>Incluir ventanas temporales, fuente de datos y explicación de interpretación.</w:t>
      </w:r>
    </w:p>
    <w:p>
      <w:pPr>
        <w:pStyle w:val="ListBullet"/>
        <w:spacing w:after="50"/>
        <w:ind w:left="317" w:hanging="173"/>
      </w:pPr>
      <w:r>
        <w:rPr>
          <w:color w:val="2B2228"/>
          <w:sz w:val="18"/>
        </w:rPr>
        <w:t>No usar rainbow charts. Usar paleta BEMARA, contraste y accesibilidad.</w:t>
      </w:r>
    </w:p>
    <w:p>
      <w:pPr>
        <w:pStyle w:val="ListBullet"/>
        <w:spacing w:after="50"/>
        <w:ind w:left="317" w:hanging="173"/>
      </w:pPr>
      <w:r>
        <w:rPr>
          <w:color w:val="2B2228"/>
          <w:sz w:val="18"/>
        </w:rPr>
        <w:t>Web: preferir primitives custom/visx; no estilos default de librerías.</w:t>
      </w:r>
    </w:p>
    <w:p>
      <w:pPr>
        <w:pStyle w:val="ListBullet"/>
        <w:spacing w:after="50"/>
        <w:ind w:left="317" w:hanging="173"/>
      </w:pPr>
      <w:r>
        <w:rPr>
          <w:color w:val="2B2228"/>
          <w:sz w:val="18"/>
        </w:rPr>
        <w:t>Mobile: visualizaciones optimizadas, no miniatura ilegible del desktop.</w:t>
      </w:r>
    </w:p>
    <w:p>
      <w:pPr>
        <w:pStyle w:val="ListBullet"/>
        <w:spacing w:after="50"/>
        <w:ind w:left="317" w:hanging="173"/>
      </w:pPr>
      <w:r>
        <w:rPr>
          <w:color w:val="2B2228"/>
          <w:sz w:val="18"/>
        </w:rPr>
        <w:t>Evitar scores arbitrarios. Cuando exista índice, explicar composición y límites.</w:t>
      </w:r>
    </w:p>
    <w:p>
      <w:pPr>
        <w:pStyle w:val="Heading1"/>
      </w:pPr>
      <w:r>
        <w:t>26. Analytics, observabilidad y costos</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pStyle w:val="ListBullet"/>
        <w:spacing w:after="50"/>
        <w:ind w:left="317" w:hanging="173"/>
      </w:pPr>
      <w:r>
        <w:rPr>
          <w:color w:val="2B2228"/>
          <w:sz w:val="18"/>
        </w:rPr>
        <w:t>Product analytics separado de intimate life data.</w:t>
      </w:r>
    </w:p>
    <w:p>
      <w:pPr>
        <w:pStyle w:val="ListBullet"/>
        <w:spacing w:after="50"/>
        <w:ind w:left="317" w:hanging="173"/>
      </w:pPr>
      <w:r>
        <w:rPr>
          <w:color w:val="2B2228"/>
          <w:sz w:val="18"/>
        </w:rPr>
        <w:t>No enviar síntomas, sexualidad, conversaciones, contenido de documentos o cifras financieras a analytics de terceros.</w:t>
      </w:r>
    </w:p>
    <w:p>
      <w:pPr>
        <w:pStyle w:val="ListBullet"/>
        <w:spacing w:after="50"/>
        <w:ind w:left="317" w:hanging="173"/>
      </w:pPr>
      <w:r>
        <w:rPr>
          <w:color w:val="2B2228"/>
          <w:sz w:val="18"/>
        </w:rPr>
        <w:t>Eventos permitidos: pantalla, feature used, success/failure, performance, conversion, retention, plan.</w:t>
      </w:r>
    </w:p>
    <w:p>
      <w:pPr>
        <w:pStyle w:val="ListBullet"/>
        <w:spacing w:after="50"/>
        <w:ind w:left="317" w:hanging="173"/>
      </w:pPr>
      <w:r>
        <w:rPr>
          <w:color w:val="2B2228"/>
          <w:sz w:val="18"/>
        </w:rPr>
        <w:t>Telemetry de AI: modelo, tokens, latencia, costo, tool calls, error, sin almacenar prompt sensible en logs.</w:t>
      </w:r>
    </w:p>
    <w:p>
      <w:pPr>
        <w:pStyle w:val="ListBullet"/>
        <w:spacing w:after="50"/>
        <w:ind w:left="317" w:hanging="173"/>
      </w:pPr>
      <w:r>
        <w:rPr>
          <w:color w:val="2B2228"/>
          <w:sz w:val="18"/>
        </w:rPr>
        <w:t>Cost per active user / per plan / per feature como métricas internas.</w:t>
      </w:r>
    </w:p>
    <w:p>
      <w:pPr>
        <w:pStyle w:val="ListBullet"/>
        <w:spacing w:after="50"/>
        <w:ind w:left="317" w:hanging="173"/>
      </w:pPr>
      <w:r>
        <w:rPr>
          <w:color w:val="2B2228"/>
          <w:sz w:val="18"/>
        </w:rPr>
        <w:t>Dash Operations debe mostrar salud de proveedores, colas, jobs, push, mail y AI.</w:t>
      </w:r>
    </w:p>
    <w:p>
      <w:pPr>
        <w:pStyle w:val="ListBullet"/>
        <w:spacing w:after="50"/>
        <w:ind w:left="317" w:hanging="173"/>
      </w:pPr>
      <w:r>
        <w:rPr>
          <w:color w:val="2B2228"/>
          <w:sz w:val="18"/>
        </w:rPr>
        <w:t>Alertas de costo anómalo y rate limits por plan.</w:t>
      </w:r>
    </w:p>
    <w:p>
      <w:pPr>
        <w:pStyle w:val="Heading1"/>
      </w:pPr>
      <w:r>
        <w:t>27. Coding standards y calidad</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pStyle w:val="ListBullet"/>
        <w:spacing w:after="50"/>
        <w:ind w:left="317" w:hanging="173"/>
      </w:pPr>
      <w:r>
        <w:rPr>
          <w:color w:val="2B2228"/>
          <w:sz w:val="18"/>
        </w:rPr>
        <w:t>TypeScript strict; no any salvo excepción documentada.</w:t>
      </w:r>
    </w:p>
    <w:p>
      <w:pPr>
        <w:pStyle w:val="ListBullet"/>
        <w:spacing w:after="50"/>
        <w:ind w:left="317" w:hanging="173"/>
      </w:pPr>
      <w:r>
        <w:rPr>
          <w:color w:val="2B2228"/>
          <w:sz w:val="18"/>
        </w:rPr>
        <w:t>Contratos con Zod/valibot o schemas tipados compartidos.</w:t>
      </w:r>
    </w:p>
    <w:p>
      <w:pPr>
        <w:pStyle w:val="ListBullet"/>
        <w:spacing w:after="50"/>
        <w:ind w:left="317" w:hanging="173"/>
      </w:pPr>
      <w:r>
        <w:rPr>
          <w:color w:val="2B2228"/>
          <w:sz w:val="18"/>
        </w:rPr>
        <w:t>ESLint/Prettier; commits claros; conventional commits opcional.</w:t>
      </w:r>
    </w:p>
    <w:p>
      <w:pPr>
        <w:pStyle w:val="ListBullet"/>
        <w:spacing w:after="50"/>
        <w:ind w:left="317" w:hanging="173"/>
      </w:pPr>
      <w:r>
        <w:rPr>
          <w:color w:val="2B2228"/>
          <w:sz w:val="18"/>
        </w:rPr>
        <w:t>No secretos, no mocks en producción, no TODO críticos sin ticket.</w:t>
      </w:r>
    </w:p>
    <w:p>
      <w:pPr>
        <w:pStyle w:val="ListBullet"/>
        <w:spacing w:after="50"/>
        <w:ind w:left="317" w:hanging="173"/>
      </w:pPr>
      <w:r>
        <w:rPr>
          <w:color w:val="2B2228"/>
          <w:sz w:val="18"/>
        </w:rPr>
        <w:t>Unit tests para dominio/safety/entitlements; integration tests API; E2E para flujos críticos.</w:t>
      </w:r>
    </w:p>
    <w:p>
      <w:pPr>
        <w:pStyle w:val="ListBullet"/>
        <w:spacing w:after="50"/>
        <w:ind w:left="317" w:hanging="173"/>
      </w:pPr>
      <w:r>
        <w:rPr>
          <w:color w:val="2B2228"/>
          <w:sz w:val="18"/>
        </w:rPr>
        <w:t>Mobile/device QA real para cámara, push, biometría y background.</w:t>
      </w:r>
    </w:p>
    <w:p>
      <w:pPr>
        <w:pStyle w:val="ListBullet"/>
        <w:spacing w:after="50"/>
        <w:ind w:left="317" w:hanging="173"/>
      </w:pPr>
      <w:r>
        <w:rPr>
          <w:color w:val="2B2228"/>
          <w:sz w:val="18"/>
        </w:rPr>
        <w:t>Accessibility: WCAG AA como objetivo web; VoiceOver/TalkBack, targets táctiles, reduced motion y font scaling.</w:t>
      </w:r>
    </w:p>
    <w:p>
      <w:pPr>
        <w:pStyle w:val="ListBullet"/>
        <w:spacing w:after="50"/>
        <w:ind w:left="317" w:hanging="173"/>
      </w:pPr>
      <w:r>
        <w:rPr>
          <w:color w:val="2B2228"/>
          <w:sz w:val="18"/>
        </w:rPr>
        <w:t>Performance budgets para PWA y mobile; lazy loading y virtualización donde aplique.</w:t>
      </w:r>
    </w:p>
    <w:p>
      <w:pPr>
        <w:pStyle w:val="Heading1"/>
      </w:pPr>
      <w:r>
        <w:t>28. Fases de desarrollo</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Las fases son orden de ingeniería, no permiso para lanzar un producto genérico. Release candidato debe representar el sistema BEMARA, no un dashboard con seis cards.</w:t>
            </w:r>
          </w:p>
        </w:tc>
      </w:tr>
    </w:tbl>
    <w:p>
      <w:pPr>
        <w:spacing w:after="20"/>
      </w:pP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241820"/>
            <w:vAlign w:val="center"/>
          </w:tcPr>
          <w:p>
            <w:r>
              <w:rPr>
                <w:b/>
                <w:color w:val="FFFFFF"/>
                <w:sz w:val="17"/>
              </w:rPr>
              <w:t>Fase</w:t>
            </w:r>
          </w:p>
        </w:tc>
        <w:tc>
          <w:tcPr>
            <w:tcW w:type="dxa" w:w="3389"/>
            <w:shd w:fill="241820"/>
            <w:vAlign w:val="center"/>
          </w:tcPr>
          <w:p>
            <w:r>
              <w:rPr>
                <w:b/>
                <w:color w:val="FFFFFF"/>
                <w:sz w:val="17"/>
              </w:rPr>
              <w:t>Objetivo</w:t>
            </w:r>
          </w:p>
        </w:tc>
        <w:tc>
          <w:tcPr>
            <w:tcW w:type="dxa" w:w="3389"/>
            <w:shd w:fill="241820"/>
            <w:vAlign w:val="center"/>
          </w:tcPr>
          <w:p>
            <w:r>
              <w:rPr>
                <w:b/>
                <w:color w:val="FFFFFF"/>
                <w:sz w:val="17"/>
              </w:rPr>
              <w:t>Salida mínima</w:t>
            </w:r>
          </w:p>
        </w:tc>
      </w:tr>
      <w:tr>
        <w:tc>
          <w:tcPr>
            <w:tcW w:type="dxa" w:w="3389"/>
            <w:shd w:fill="F7F1ED"/>
            <w:vAlign w:val="center"/>
            <w:tcBorders>
              <w:bottom w:val="single" w:sz="4" w:color="E2D4CF"/>
            </w:tcBorders>
          </w:tcPr>
          <w:p>
            <w:pPr>
              <w:spacing w:after="0"/>
            </w:pPr>
            <w:r>
              <w:rPr>
                <w:color w:val="2B2228"/>
                <w:sz w:val="17"/>
              </w:rPr>
              <w:t>0 — Foundation</w:t>
            </w:r>
          </w:p>
        </w:tc>
        <w:tc>
          <w:tcPr>
            <w:tcW w:type="dxa" w:w="3389"/>
            <w:shd w:fill="F7F1ED"/>
            <w:vAlign w:val="center"/>
            <w:tcBorders>
              <w:bottom w:val="single" w:sz="4" w:color="E2D4CF"/>
            </w:tcBorders>
          </w:tcPr>
          <w:p>
            <w:pPr>
              <w:spacing w:after="0"/>
            </w:pPr>
            <w:r>
              <w:rPr>
                <w:color w:val="2B2228"/>
                <w:sz w:val="17"/>
              </w:rPr>
              <w:t>Monorepo, CI, envs, design tokens, DB, auth, RLS, i18n, observability.</w:t>
            </w:r>
          </w:p>
        </w:tc>
        <w:tc>
          <w:tcPr>
            <w:tcW w:type="dxa" w:w="3389"/>
            <w:shd w:fill="F7F1ED"/>
            <w:vAlign w:val="center"/>
            <w:tcBorders>
              <w:bottom w:val="single" w:sz="4" w:color="E2D4CF"/>
            </w:tcBorders>
          </w:tcPr>
          <w:p>
            <w:pPr>
              <w:spacing w:after="0"/>
            </w:pPr>
            <w:r>
              <w:rPr>
                <w:color w:val="2B2228"/>
                <w:sz w:val="17"/>
              </w:rPr>
              <w:t>Base estable y deployable.</w:t>
            </w:r>
          </w:p>
        </w:tc>
      </w:tr>
      <w:tr>
        <w:tc>
          <w:tcPr>
            <w:tcW w:type="dxa" w:w="3389"/>
            <w:shd w:fill="F2E9E2"/>
            <w:vAlign w:val="center"/>
            <w:tcBorders>
              <w:bottom w:val="single" w:sz="4" w:color="E2D4CF"/>
            </w:tcBorders>
          </w:tcPr>
          <w:p>
            <w:pPr>
              <w:spacing w:after="0"/>
            </w:pPr>
            <w:r>
              <w:rPr>
                <w:color w:val="2B2228"/>
                <w:sz w:val="17"/>
              </w:rPr>
              <w:t>1 — Identity &amp; Adaptive Core</w:t>
            </w:r>
          </w:p>
        </w:tc>
        <w:tc>
          <w:tcPr>
            <w:tcW w:type="dxa" w:w="3389"/>
            <w:shd w:fill="F2E9E2"/>
            <w:vAlign w:val="center"/>
            <w:tcBorders>
              <w:bottom w:val="single" w:sz="4" w:color="E2D4CF"/>
            </w:tcBorders>
          </w:tcPr>
          <w:p>
            <w:pPr>
              <w:spacing w:after="0"/>
            </w:pPr>
            <w:r>
              <w:rPr>
                <w:color w:val="2B2228"/>
                <w:sz w:val="17"/>
              </w:rPr>
              <w:t>Onboarding, profile/context, Home adaptativo, consent/memory centers, shell PWA/mobile.</w:t>
            </w:r>
          </w:p>
        </w:tc>
        <w:tc>
          <w:tcPr>
            <w:tcW w:type="dxa" w:w="3389"/>
            <w:shd w:fill="F2E9E2"/>
            <w:vAlign w:val="center"/>
            <w:tcBorders>
              <w:bottom w:val="single" w:sz="4" w:color="E2D4CF"/>
            </w:tcBorders>
          </w:tcPr>
          <w:p>
            <w:pPr>
              <w:spacing w:after="0"/>
            </w:pPr>
            <w:r>
              <w:rPr>
                <w:color w:val="2B2228"/>
                <w:sz w:val="17"/>
              </w:rPr>
              <w:t>BEMARA reconoce a la usuaria y se configura.</w:t>
            </w:r>
          </w:p>
        </w:tc>
      </w:tr>
      <w:tr>
        <w:tc>
          <w:tcPr>
            <w:tcW w:type="dxa" w:w="3389"/>
            <w:shd w:fill="F7F1ED"/>
            <w:vAlign w:val="center"/>
            <w:tcBorders>
              <w:bottom w:val="single" w:sz="4" w:color="E2D4CF"/>
            </w:tcBorders>
          </w:tcPr>
          <w:p>
            <w:pPr>
              <w:spacing w:after="0"/>
            </w:pPr>
            <w:r>
              <w:rPr>
                <w:color w:val="2B2228"/>
                <w:sz w:val="17"/>
              </w:rPr>
              <w:t>2 — LENA Core</w:t>
            </w:r>
          </w:p>
        </w:tc>
        <w:tc>
          <w:tcPr>
            <w:tcW w:type="dxa" w:w="3389"/>
            <w:shd w:fill="F7F1ED"/>
            <w:vAlign w:val="center"/>
            <w:tcBorders>
              <w:bottom w:val="single" w:sz="4" w:color="E2D4CF"/>
            </w:tcBorders>
          </w:tcPr>
          <w:p>
            <w:pPr>
              <w:spacing w:after="0"/>
            </w:pPr>
            <w:r>
              <w:rPr>
                <w:color w:val="2B2228"/>
                <w:sz w:val="17"/>
              </w:rPr>
              <w:t>AI Gateway, memory, RAG, voice, tools, safety, explainability.</w:t>
            </w:r>
          </w:p>
        </w:tc>
        <w:tc>
          <w:tcPr>
            <w:tcW w:type="dxa" w:w="3389"/>
            <w:shd w:fill="F7F1ED"/>
            <w:vAlign w:val="center"/>
            <w:tcBorders>
              <w:bottom w:val="single" w:sz="4" w:color="E2D4CF"/>
            </w:tcBorders>
          </w:tcPr>
          <w:p>
            <w:pPr>
              <w:spacing w:after="0"/>
            </w:pPr>
            <w:r>
              <w:rPr>
                <w:color w:val="2B2228"/>
                <w:sz w:val="17"/>
              </w:rPr>
              <w:t>LENA conversa, recuerda y usa herramientas básicas.</w:t>
            </w:r>
          </w:p>
        </w:tc>
      </w:tr>
      <w:tr>
        <w:tc>
          <w:tcPr>
            <w:tcW w:type="dxa" w:w="3389"/>
            <w:shd w:fill="F2E9E2"/>
            <w:vAlign w:val="center"/>
            <w:tcBorders>
              <w:bottom w:val="single" w:sz="4" w:color="E2D4CF"/>
            </w:tcBorders>
          </w:tcPr>
          <w:p>
            <w:pPr>
              <w:spacing w:after="0"/>
            </w:pPr>
            <w:r>
              <w:rPr>
                <w:color w:val="2B2228"/>
                <w:sz w:val="17"/>
              </w:rPr>
              <w:t>3 — Life Domains</w:t>
            </w:r>
          </w:p>
        </w:tc>
        <w:tc>
          <w:tcPr>
            <w:tcW w:type="dxa" w:w="3389"/>
            <w:shd w:fill="F2E9E2"/>
            <w:vAlign w:val="center"/>
            <w:tcBorders>
              <w:bottom w:val="single" w:sz="4" w:color="E2D4CF"/>
            </w:tcBorders>
          </w:tcPr>
          <w:p>
            <w:pPr>
              <w:spacing w:after="0"/>
            </w:pPr>
            <w:r>
              <w:rPr>
                <w:color w:val="2B2228"/>
                <w:sz w:val="17"/>
              </w:rPr>
              <w:t>Cuerpo, Mente, Dinero, Tiempo/Carga, Familia/Care, Relaciones, Carrera, Casa/Admin, Metas.</w:t>
            </w:r>
          </w:p>
        </w:tc>
        <w:tc>
          <w:tcPr>
            <w:tcW w:type="dxa" w:w="3389"/>
            <w:shd w:fill="F2E9E2"/>
            <w:vAlign w:val="center"/>
            <w:tcBorders>
              <w:bottom w:val="single" w:sz="4" w:color="E2D4CF"/>
            </w:tcBorders>
          </w:tcPr>
          <w:p>
            <w:pPr>
              <w:spacing w:after="0"/>
            </w:pPr>
            <w:r>
              <w:rPr>
                <w:color w:val="2B2228"/>
                <w:sz w:val="17"/>
              </w:rPr>
              <w:t>Cada dominio con flujo end-to-end útil y conexión transversal.</w:t>
            </w:r>
          </w:p>
        </w:tc>
      </w:tr>
      <w:tr>
        <w:tc>
          <w:tcPr>
            <w:tcW w:type="dxa" w:w="3389"/>
            <w:shd w:fill="F7F1ED"/>
            <w:vAlign w:val="center"/>
            <w:tcBorders>
              <w:bottom w:val="single" w:sz="4" w:color="E2D4CF"/>
            </w:tcBorders>
          </w:tcPr>
          <w:p>
            <w:pPr>
              <w:spacing w:after="0"/>
            </w:pPr>
            <w:r>
              <w:rPr>
                <w:color w:val="2B2228"/>
                <w:sz w:val="17"/>
              </w:rPr>
              <w:t>4 — Executive</w:t>
            </w:r>
          </w:p>
        </w:tc>
        <w:tc>
          <w:tcPr>
            <w:tcW w:type="dxa" w:w="3389"/>
            <w:shd w:fill="F7F1ED"/>
            <w:vAlign w:val="center"/>
            <w:tcBorders>
              <w:bottom w:val="single" w:sz="4" w:color="E2D4CF"/>
            </w:tcBorders>
          </w:tcPr>
          <w:p>
            <w:pPr>
              <w:spacing w:after="0"/>
            </w:pPr>
            <w:r>
              <w:rPr>
                <w:color w:val="2B2228"/>
                <w:sz w:val="17"/>
              </w:rPr>
              <w:t>Calendar/tasks/doc intelligence, Smart Mail, follow-up, Notification Intelligence.</w:t>
            </w:r>
          </w:p>
        </w:tc>
        <w:tc>
          <w:tcPr>
            <w:tcW w:type="dxa" w:w="3389"/>
            <w:shd w:fill="F7F1ED"/>
            <w:vAlign w:val="center"/>
            <w:tcBorders>
              <w:bottom w:val="single" w:sz="4" w:color="E2D4CF"/>
            </w:tcBorders>
          </w:tcPr>
          <w:p>
            <w:pPr>
              <w:spacing w:after="0"/>
            </w:pPr>
            <w:r>
              <w:rPr>
                <w:color w:val="2B2228"/>
                <w:sz w:val="17"/>
              </w:rPr>
              <w:t>LENA ayuda a operar la vida.</w:t>
            </w:r>
          </w:p>
        </w:tc>
      </w:tr>
      <w:tr>
        <w:tc>
          <w:tcPr>
            <w:tcW w:type="dxa" w:w="3389"/>
            <w:shd w:fill="F2E9E2"/>
            <w:vAlign w:val="center"/>
            <w:tcBorders>
              <w:bottom w:val="single" w:sz="4" w:color="E2D4CF"/>
            </w:tcBorders>
          </w:tcPr>
          <w:p>
            <w:pPr>
              <w:spacing w:after="0"/>
            </w:pPr>
            <w:r>
              <w:rPr>
                <w:color w:val="2B2228"/>
                <w:sz w:val="17"/>
              </w:rPr>
              <w:t>5 — Personal Intelligence</w:t>
            </w:r>
          </w:p>
        </w:tc>
        <w:tc>
          <w:tcPr>
            <w:tcW w:type="dxa" w:w="3389"/>
            <w:shd w:fill="F2E9E2"/>
            <w:vAlign w:val="center"/>
            <w:tcBorders>
              <w:bottom w:val="single" w:sz="4" w:color="E2D4CF"/>
            </w:tcBorders>
          </w:tcPr>
          <w:p>
            <w:pPr>
              <w:spacing w:after="0"/>
            </w:pPr>
            <w:r>
              <w:rPr>
                <w:color w:val="2B2228"/>
                <w:sz w:val="17"/>
              </w:rPr>
              <w:t>Personal baselines, correlations, forecasts, “what if”, Mental Load Forecast.</w:t>
            </w:r>
          </w:p>
        </w:tc>
        <w:tc>
          <w:tcPr>
            <w:tcW w:type="dxa" w:w="3389"/>
            <w:shd w:fill="F2E9E2"/>
            <w:vAlign w:val="center"/>
            <w:tcBorders>
              <w:bottom w:val="single" w:sz="4" w:color="E2D4CF"/>
            </w:tcBorders>
          </w:tcPr>
          <w:p>
            <w:pPr>
              <w:spacing w:after="0"/>
            </w:pPr>
            <w:r>
              <w:rPr>
                <w:color w:val="2B2228"/>
                <w:sz w:val="17"/>
              </w:rPr>
              <w:t>Insights y predicciones personales explicables.</w:t>
            </w:r>
          </w:p>
        </w:tc>
      </w:tr>
      <w:tr>
        <w:tc>
          <w:tcPr>
            <w:tcW w:type="dxa" w:w="3389"/>
            <w:shd w:fill="F7F1ED"/>
            <w:vAlign w:val="center"/>
            <w:tcBorders>
              <w:bottom w:val="single" w:sz="4" w:color="E2D4CF"/>
            </w:tcBorders>
          </w:tcPr>
          <w:p>
            <w:pPr>
              <w:spacing w:after="0"/>
            </w:pPr>
            <w:r>
              <w:rPr>
                <w:color w:val="2B2228"/>
                <w:sz w:val="17"/>
              </w:rPr>
              <w:t>6 — Monetization &amp; Release</w:t>
            </w:r>
          </w:p>
        </w:tc>
        <w:tc>
          <w:tcPr>
            <w:tcW w:type="dxa" w:w="3389"/>
            <w:shd w:fill="F7F1ED"/>
            <w:vAlign w:val="center"/>
            <w:tcBorders>
              <w:bottom w:val="single" w:sz="4" w:color="E2D4CF"/>
            </w:tcBorders>
          </w:tcPr>
          <w:p>
            <w:pPr>
              <w:spacing w:after="0"/>
            </w:pPr>
            <w:r>
              <w:rPr>
                <w:color w:val="2B2228"/>
                <w:sz w:val="17"/>
              </w:rPr>
              <w:t>Entitlements, Conekta, IAP/Play, hardening, privacy/legal screens, store readiness.</w:t>
            </w:r>
          </w:p>
        </w:tc>
        <w:tc>
          <w:tcPr>
            <w:tcW w:type="dxa" w:w="3389"/>
            <w:shd w:fill="F7F1ED"/>
            <w:vAlign w:val="center"/>
            <w:tcBorders>
              <w:bottom w:val="single" w:sz="4" w:color="E2D4CF"/>
            </w:tcBorders>
          </w:tcPr>
          <w:p>
            <w:pPr>
              <w:spacing w:after="0"/>
            </w:pPr>
            <w:r>
              <w:rPr>
                <w:color w:val="2B2228"/>
                <w:sz w:val="17"/>
              </w:rPr>
              <w:t>Launch candidate México.</w:t>
            </w:r>
          </w:p>
        </w:tc>
      </w:tr>
      <w:tr>
        <w:tc>
          <w:tcPr>
            <w:tcW w:type="dxa" w:w="3389"/>
            <w:shd w:fill="F2E9E2"/>
            <w:vAlign w:val="center"/>
            <w:tcBorders>
              <w:bottom w:val="single" w:sz="4" w:color="E2D4CF"/>
            </w:tcBorders>
          </w:tcPr>
          <w:p>
            <w:pPr>
              <w:spacing w:after="0"/>
            </w:pPr>
            <w:r>
              <w:rPr>
                <w:color w:val="2B2228"/>
                <w:sz w:val="17"/>
              </w:rPr>
              <w:t>7 — Post-launch Intelligence</w:t>
            </w:r>
          </w:p>
        </w:tc>
        <w:tc>
          <w:tcPr>
            <w:tcW w:type="dxa" w:w="3389"/>
            <w:shd w:fill="F2E9E2"/>
            <w:vAlign w:val="center"/>
            <w:tcBorders>
              <w:bottom w:val="single" w:sz="4" w:color="E2D4CF"/>
            </w:tcBorders>
          </w:tcPr>
          <w:p>
            <w:pPr>
              <w:spacing w:after="0"/>
            </w:pPr>
            <w:r>
              <w:rPr>
                <w:color w:val="2B2228"/>
                <w:sz w:val="17"/>
              </w:rPr>
              <w:t>Population data foundation, improved ML, bank/wearable connectors.</w:t>
            </w:r>
          </w:p>
        </w:tc>
        <w:tc>
          <w:tcPr>
            <w:tcW w:type="dxa" w:w="3389"/>
            <w:shd w:fill="F2E9E2"/>
            <w:vAlign w:val="center"/>
            <w:tcBorders>
              <w:bottom w:val="single" w:sz="4" w:color="E2D4CF"/>
            </w:tcBorders>
          </w:tcPr>
          <w:p>
            <w:pPr>
              <w:spacing w:after="0"/>
            </w:pPr>
            <w:r>
              <w:rPr>
                <w:color w:val="2B2228"/>
                <w:sz w:val="17"/>
              </w:rPr>
              <w:t>Más personalización y Big Data gradual.</w:t>
            </w:r>
          </w:p>
        </w:tc>
      </w:tr>
      <w:tr>
        <w:tc>
          <w:tcPr>
            <w:tcW w:type="dxa" w:w="3389"/>
            <w:shd w:fill="F7F1ED"/>
            <w:vAlign w:val="center"/>
            <w:tcBorders>
              <w:bottom w:val="single" w:sz="4" w:color="E2D4CF"/>
            </w:tcBorders>
          </w:tcPr>
          <w:p>
            <w:pPr>
              <w:spacing w:after="0"/>
            </w:pPr>
            <w:r>
              <w:rPr>
                <w:color w:val="2B2228"/>
                <w:sz w:val="17"/>
              </w:rPr>
              <w:t>8 — Community</w:t>
            </w:r>
          </w:p>
        </w:tc>
        <w:tc>
          <w:tcPr>
            <w:tcW w:type="dxa" w:w="3389"/>
            <w:shd w:fill="F7F1ED"/>
            <w:vAlign w:val="center"/>
            <w:tcBorders>
              <w:bottom w:val="single" w:sz="4" w:color="E2D4CF"/>
            </w:tcBorders>
          </w:tcPr>
          <w:p>
            <w:pPr>
              <w:spacing w:after="0"/>
            </w:pPr>
            <w:r>
              <w:rPr>
                <w:color w:val="2B2228"/>
                <w:sz w:val="17"/>
              </w:rPr>
              <w:t>Activar sólo con masa crítica.</w:t>
            </w:r>
          </w:p>
        </w:tc>
        <w:tc>
          <w:tcPr>
            <w:tcW w:type="dxa" w:w="3389"/>
            <w:shd w:fill="F7F1ED"/>
            <w:vAlign w:val="center"/>
            <w:tcBorders>
              <w:bottom w:val="single" w:sz="4" w:color="E2D4CF"/>
            </w:tcBorders>
          </w:tcPr>
          <w:p>
            <w:pPr>
              <w:spacing w:after="0"/>
            </w:pPr>
            <w:r>
              <w:rPr>
                <w:color w:val="2B2228"/>
                <w:sz w:val="17"/>
              </w:rPr>
              <w:t>Matching/contextual community e IRL.</w:t>
            </w:r>
          </w:p>
        </w:tc>
      </w:tr>
    </w:tbl>
    <w:p>
      <w:pPr>
        <w:spacing w:after="40"/>
      </w:pPr>
    </w:p>
    <w:p>
      <w:pPr>
        <w:pStyle w:val="Heading1"/>
      </w:pPr>
      <w:r>
        <w:t>29. Criterios de aceptación de una capability</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pStyle w:val="ListBullet"/>
        <w:spacing w:after="50"/>
        <w:ind w:left="317" w:hanging="173"/>
      </w:pPr>
      <w:r>
        <w:rPr>
          <w:color w:val="2B2228"/>
          <w:sz w:val="18"/>
        </w:rPr>
        <w:t>Resuelve un problema real, no existe sólo por completar una lista.</w:t>
      </w:r>
    </w:p>
    <w:p>
      <w:pPr>
        <w:pStyle w:val="ListBullet"/>
        <w:spacing w:after="50"/>
        <w:ind w:left="317" w:hanging="173"/>
      </w:pPr>
      <w:r>
        <w:rPr>
          <w:color w:val="2B2228"/>
          <w:sz w:val="18"/>
        </w:rPr>
        <w:t>Tiene al menos un flujo completo de principio a fin.</w:t>
      </w:r>
    </w:p>
    <w:p>
      <w:pPr>
        <w:pStyle w:val="ListBullet"/>
        <w:spacing w:after="50"/>
        <w:ind w:left="317" w:hanging="173"/>
      </w:pPr>
      <w:r>
        <w:rPr>
          <w:color w:val="2B2228"/>
          <w:sz w:val="18"/>
        </w:rPr>
        <w:t>LENA puede entender o actuar sobre ella.</w:t>
      </w:r>
    </w:p>
    <w:p>
      <w:pPr>
        <w:pStyle w:val="ListBullet"/>
        <w:spacing w:after="50"/>
        <w:ind w:left="317" w:hanging="173"/>
      </w:pPr>
      <w:r>
        <w:rPr>
          <w:color w:val="2B2228"/>
          <w:sz w:val="18"/>
        </w:rPr>
        <w:t>Se conecta al Life Graph o justifica por qué no.</w:t>
      </w:r>
    </w:p>
    <w:p>
      <w:pPr>
        <w:pStyle w:val="ListBullet"/>
        <w:spacing w:after="50"/>
        <w:ind w:left="317" w:hanging="173"/>
      </w:pPr>
      <w:r>
        <w:rPr>
          <w:color w:val="2B2228"/>
          <w:sz w:val="18"/>
        </w:rPr>
        <w:t>Tiene permisos/consentimiento definidos.</w:t>
      </w:r>
    </w:p>
    <w:p>
      <w:pPr>
        <w:pStyle w:val="ListBullet"/>
        <w:spacing w:after="50"/>
        <w:ind w:left="317" w:hanging="173"/>
      </w:pPr>
      <w:r>
        <w:rPr>
          <w:color w:val="2B2228"/>
          <w:sz w:val="18"/>
        </w:rPr>
        <w:t>Tiene estado vacío, error, loading y offline/poor network razonables.</w:t>
      </w:r>
    </w:p>
    <w:p>
      <w:pPr>
        <w:pStyle w:val="ListBullet"/>
        <w:spacing w:after="50"/>
        <w:ind w:left="317" w:hanging="173"/>
      </w:pPr>
      <w:r>
        <w:rPr>
          <w:color w:val="2B2228"/>
          <w:sz w:val="18"/>
        </w:rPr>
        <w:t>Tiene telemetría no sensible.</w:t>
      </w:r>
    </w:p>
    <w:p>
      <w:pPr>
        <w:pStyle w:val="ListBullet"/>
        <w:spacing w:after="50"/>
        <w:ind w:left="317" w:hanging="173"/>
      </w:pPr>
      <w:r>
        <w:rPr>
          <w:color w:val="2B2228"/>
          <w:sz w:val="18"/>
        </w:rPr>
        <w:t>Cumple accesibilidad y bilingüe.</w:t>
      </w:r>
    </w:p>
    <w:p>
      <w:pPr>
        <w:pStyle w:val="ListBullet"/>
        <w:spacing w:after="50"/>
        <w:ind w:left="317" w:hanging="173"/>
      </w:pPr>
      <w:r>
        <w:rPr>
          <w:color w:val="2B2228"/>
          <w:sz w:val="18"/>
        </w:rPr>
        <w:t>No introduce estética SaaS genérica.</w:t>
      </w:r>
    </w:p>
    <w:p>
      <w:pPr>
        <w:pStyle w:val="ListBullet"/>
        <w:spacing w:after="50"/>
        <w:ind w:left="317" w:hanging="173"/>
      </w:pPr>
      <w:r>
        <w:rPr>
          <w:color w:val="2B2228"/>
          <w:sz w:val="18"/>
        </w:rPr>
        <w:t>No hace promesas clínicas/financieras no permitidas.</w:t>
      </w:r>
    </w:p>
    <w:p>
      <w:pPr>
        <w:pStyle w:val="ListBullet"/>
        <w:spacing w:after="50"/>
        <w:ind w:left="317" w:hanging="173"/>
      </w:pPr>
      <w:r>
        <w:rPr>
          <w:color w:val="2B2228"/>
          <w:sz w:val="18"/>
        </w:rPr>
        <w:t>Cuenta con tests de los caminos críticos.</w:t>
      </w:r>
    </w:p>
    <w:p>
      <w:pPr>
        <w:pStyle w:val="Heading1"/>
      </w:pPr>
      <w:r>
        <w:t>30. Prohibiciones explícitas para Codex</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pStyle w:val="ListBullet"/>
        <w:spacing w:after="50"/>
        <w:ind w:left="317" w:hanging="173"/>
      </w:pPr>
      <w:r>
        <w:rPr>
          <w:color w:val="2B2228"/>
          <w:sz w:val="18"/>
        </w:rPr>
        <w:t>No inventar portales, roles, apps, módulos o workflows fuera de este documento.</w:t>
      </w:r>
    </w:p>
    <w:p>
      <w:pPr>
        <w:pStyle w:val="ListBullet"/>
        <w:spacing w:after="50"/>
        <w:ind w:left="317" w:hanging="173"/>
      </w:pPr>
      <w:r>
        <w:rPr>
          <w:color w:val="2B2228"/>
          <w:sz w:val="18"/>
        </w:rPr>
        <w:t>No sustituir React Native/Expo por wrapper web para ahorrar tiempo.</w:t>
      </w:r>
    </w:p>
    <w:p>
      <w:pPr>
        <w:pStyle w:val="ListBullet"/>
        <w:spacing w:after="50"/>
        <w:ind w:left="317" w:hanging="173"/>
      </w:pPr>
      <w:r>
        <w:rPr>
          <w:color w:val="2B2228"/>
          <w:sz w:val="18"/>
        </w:rPr>
        <w:t>No convertir PWA consumer en admin dashboard.</w:t>
      </w:r>
    </w:p>
    <w:p>
      <w:pPr>
        <w:pStyle w:val="ListBullet"/>
        <w:spacing w:after="50"/>
        <w:ind w:left="317" w:hanging="173"/>
      </w:pPr>
      <w:r>
        <w:rPr>
          <w:color w:val="2B2228"/>
          <w:sz w:val="18"/>
        </w:rPr>
        <w:t>No usar sidebar persistente tipo CRM como navegación principal de la usuaria.</w:t>
      </w:r>
    </w:p>
    <w:p>
      <w:pPr>
        <w:pStyle w:val="ListBullet"/>
        <w:spacing w:after="50"/>
        <w:ind w:left="317" w:hanging="173"/>
      </w:pPr>
      <w:r>
        <w:rPr>
          <w:color w:val="2B2228"/>
          <w:sz w:val="18"/>
        </w:rPr>
        <w:t>No crear Home de KPIs genéricos.</w:t>
      </w:r>
    </w:p>
    <w:p>
      <w:pPr>
        <w:pStyle w:val="ListBullet"/>
        <w:spacing w:after="50"/>
        <w:ind w:left="317" w:hanging="173"/>
      </w:pPr>
      <w:r>
        <w:rPr>
          <w:color w:val="2B2228"/>
          <w:sz w:val="18"/>
        </w:rPr>
        <w:t>No crear 20 chatbots; la usuaria sólo conoce a LENA.</w:t>
      </w:r>
    </w:p>
    <w:p>
      <w:pPr>
        <w:pStyle w:val="ListBullet"/>
        <w:spacing w:after="50"/>
        <w:ind w:left="317" w:hanging="173"/>
      </w:pPr>
      <w:r>
        <w:rPr>
          <w:color w:val="2B2228"/>
          <w:sz w:val="18"/>
        </w:rPr>
        <w:t>No usar IA directamente desde frontend; siempre AI Gateway.</w:t>
      </w:r>
    </w:p>
    <w:p>
      <w:pPr>
        <w:pStyle w:val="ListBullet"/>
        <w:spacing w:after="50"/>
        <w:ind w:left="317" w:hanging="173"/>
      </w:pPr>
      <w:r>
        <w:rPr>
          <w:color w:val="2B2228"/>
          <w:sz w:val="18"/>
        </w:rPr>
        <w:t>No almacenar memoria de BEMARA dentro de un proveedor de IA como fuente de verdad.</w:t>
      </w:r>
    </w:p>
    <w:p>
      <w:pPr>
        <w:pStyle w:val="ListBullet"/>
        <w:spacing w:after="50"/>
        <w:ind w:left="317" w:hanging="173"/>
      </w:pPr>
      <w:r>
        <w:rPr>
          <w:color w:val="2B2228"/>
          <w:sz w:val="18"/>
        </w:rPr>
        <w:t>No hardcodear textos, precios, model IDs o secretos.</w:t>
      </w:r>
    </w:p>
    <w:p>
      <w:pPr>
        <w:pStyle w:val="ListBullet"/>
        <w:spacing w:after="50"/>
        <w:ind w:left="317" w:hanging="173"/>
      </w:pPr>
      <w:r>
        <w:rPr>
          <w:color w:val="2B2228"/>
          <w:sz w:val="18"/>
        </w:rPr>
        <w:t>No inferir silenciosamente salud, orientación, identidad, embarazo o atributos sensibles.</w:t>
      </w:r>
    </w:p>
    <w:p>
      <w:pPr>
        <w:pStyle w:val="ListBullet"/>
        <w:spacing w:after="50"/>
        <w:ind w:left="317" w:hanging="173"/>
      </w:pPr>
      <w:r>
        <w:rPr>
          <w:color w:val="2B2228"/>
          <w:sz w:val="18"/>
        </w:rPr>
        <w:t>No crear “diagnósticos” a partir de LLMs.</w:t>
      </w:r>
    </w:p>
    <w:p>
      <w:pPr>
        <w:pStyle w:val="ListBullet"/>
        <w:spacing w:after="50"/>
        <w:ind w:left="317" w:hanging="173"/>
      </w:pPr>
      <w:r>
        <w:rPr>
          <w:color w:val="2B2228"/>
          <w:sz w:val="18"/>
        </w:rPr>
        <w:t>No habilitar Community o Clinical sin autorización.</w:t>
      </w:r>
    </w:p>
    <w:p>
      <w:pPr>
        <w:pStyle w:val="ListBullet"/>
        <w:spacing w:after="50"/>
        <w:ind w:left="317" w:hanging="173"/>
      </w:pPr>
      <w:r>
        <w:rPr>
          <w:color w:val="2B2228"/>
          <w:sz w:val="18"/>
        </w:rPr>
        <w:t>No usar datos reales sensibles para fixtures o demos.</w:t>
      </w:r>
    </w:p>
    <w:p>
      <w:pPr>
        <w:pStyle w:val="ListBullet"/>
        <w:spacing w:after="50"/>
        <w:ind w:left="317" w:hanging="173"/>
      </w:pPr>
      <w:r>
        <w:rPr>
          <w:color w:val="2B2228"/>
          <w:sz w:val="18"/>
        </w:rPr>
        <w:t>No introducir nuevas dependencias mayores sin justificación técnica.</w:t>
      </w:r>
    </w:p>
    <w:p>
      <w:pPr>
        <w:pStyle w:val="Heading1"/>
      </w:pPr>
      <w:r>
        <w:t>31. Configuración externa pendiente — se realizará con la propietaria después</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Nunca solicitar o guardar secretos dentro del repositorio. Crear .env.example sin valores sensibles y un documento de setup.</w:t>
            </w:r>
          </w:p>
        </w:tc>
      </w:tr>
    </w:tbl>
    <w:p>
      <w:pPr>
        <w:spacing w:after="20"/>
      </w:pPr>
    </w:p>
    <w:p>
      <w:pPr>
        <w:keepLines w:val="0"/>
      </w:pPr>
      <w:r>
        <w:t>Codex debe preparar adapters, variables de entorno y documentación, pero no requiere claves reales para iniciar. Se usarán valores de desarrollo/test y providers simulados cuando sea necesario.</w:t>
      </w:r>
    </w:p>
    <w:p>
      <w:pPr>
        <w:pStyle w:val="ListBullet"/>
        <w:spacing w:after="50"/>
        <w:ind w:left="317" w:hanging="173"/>
      </w:pPr>
      <w:r>
        <w:rPr>
          <w:color w:val="2B2228"/>
          <w:sz w:val="18"/>
        </w:rPr>
        <w:t>DNS de bemara.me y subdominios.</w:t>
      </w:r>
    </w:p>
    <w:p>
      <w:pPr>
        <w:pStyle w:val="ListBullet"/>
        <w:spacing w:after="50"/>
        <w:ind w:left="317" w:hanging="173"/>
      </w:pPr>
      <w:r>
        <w:rPr>
          <w:color w:val="2B2228"/>
          <w:sz w:val="18"/>
        </w:rPr>
        <w:t>Supabase project + Auth providers.</w:t>
      </w:r>
    </w:p>
    <w:p>
      <w:pPr>
        <w:pStyle w:val="ListBullet"/>
        <w:spacing w:after="50"/>
        <w:ind w:left="317" w:hanging="173"/>
      </w:pPr>
      <w:r>
        <w:rPr>
          <w:color w:val="2B2228"/>
          <w:sz w:val="18"/>
        </w:rPr>
        <w:t>OpenAI API y controles de retención.</w:t>
      </w:r>
    </w:p>
    <w:p>
      <w:pPr>
        <w:pStyle w:val="ListBullet"/>
        <w:spacing w:after="50"/>
        <w:ind w:left="317" w:hanging="173"/>
      </w:pPr>
      <w:r>
        <w:rPr>
          <w:color w:val="2B2228"/>
          <w:sz w:val="18"/>
        </w:rPr>
        <w:t>Anthropic API fallback.</w:t>
      </w:r>
    </w:p>
    <w:p>
      <w:pPr>
        <w:pStyle w:val="ListBullet"/>
        <w:spacing w:after="50"/>
        <w:ind w:left="317" w:hanging="173"/>
      </w:pPr>
      <w:r>
        <w:rPr>
          <w:color w:val="2B2228"/>
          <w:sz w:val="18"/>
        </w:rPr>
        <w:t>Resend domain/DKIM/SPF/DMARC.</w:t>
      </w:r>
    </w:p>
    <w:p>
      <w:pPr>
        <w:pStyle w:val="ListBullet"/>
        <w:spacing w:after="50"/>
        <w:ind w:left="317" w:hanging="173"/>
      </w:pPr>
      <w:r>
        <w:rPr>
          <w:color w:val="2B2228"/>
          <w:sz w:val="18"/>
        </w:rPr>
        <w:t>Conekta merchant/test/live.</w:t>
      </w:r>
    </w:p>
    <w:p>
      <w:pPr>
        <w:pStyle w:val="ListBullet"/>
        <w:spacing w:after="50"/>
        <w:ind w:left="317" w:hanging="173"/>
      </w:pPr>
      <w:r>
        <w:rPr>
          <w:color w:val="2B2228"/>
          <w:sz w:val="18"/>
        </w:rPr>
        <w:t>Apple Developer / App Store Connect / Sign in with Apple / IAP.</w:t>
      </w:r>
    </w:p>
    <w:p>
      <w:pPr>
        <w:pStyle w:val="ListBullet"/>
        <w:spacing w:after="50"/>
        <w:ind w:left="317" w:hanging="173"/>
      </w:pPr>
      <w:r>
        <w:rPr>
          <w:color w:val="2B2228"/>
          <w:sz w:val="18"/>
        </w:rPr>
        <w:t>Google Play Console / Google Sign-In / Play Billing.</w:t>
      </w:r>
    </w:p>
    <w:p>
      <w:pPr>
        <w:pStyle w:val="ListBullet"/>
        <w:spacing w:after="50"/>
        <w:ind w:left="317" w:hanging="173"/>
      </w:pPr>
      <w:r>
        <w:rPr>
          <w:color w:val="2B2228"/>
          <w:sz w:val="18"/>
        </w:rPr>
        <w:t>Expo EAS credentials.</w:t>
      </w:r>
    </w:p>
    <w:p>
      <w:pPr>
        <w:pStyle w:val="ListBullet"/>
        <w:spacing w:after="50"/>
        <w:ind w:left="317" w:hanging="173"/>
      </w:pPr>
      <w:r>
        <w:rPr>
          <w:color w:val="2B2228"/>
          <w:sz w:val="18"/>
        </w:rPr>
        <w:t>Netlify + Railway environments.</w:t>
      </w:r>
    </w:p>
    <w:p>
      <w:pPr>
        <w:pStyle w:val="ListBullet"/>
        <w:spacing w:after="50"/>
        <w:ind w:left="317" w:hanging="173"/>
      </w:pPr>
      <w:r>
        <w:rPr>
          <w:color w:val="2B2228"/>
          <w:sz w:val="18"/>
        </w:rPr>
        <w:t>Sentry/PostHog con políticas de scrubbing.</w:t>
      </w:r>
    </w:p>
    <w:p>
      <w:pPr>
        <w:pStyle w:val="ListBullet"/>
        <w:spacing w:after="50"/>
        <w:ind w:left="317" w:hanging="173"/>
      </w:pPr>
      <w:r>
        <w:rPr>
          <w:color w:val="2B2228"/>
          <w:sz w:val="18"/>
        </w:rPr>
        <w:t>Conectores Google/Microsoft y wearables cuando entren a fase.</w:t>
      </w:r>
    </w:p>
    <w:p>
      <w:pPr>
        <w:pStyle w:val="Heading1"/>
      </w:pPr>
      <w:r>
        <w:t>32. Decisiones comerciales pendientes</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Estas decisiones deben modelarse como configuración y entitlements, no como constantes en el código.</w:t>
      </w:r>
    </w:p>
    <w:p>
      <w:pPr>
        <w:pStyle w:val="ListBullet"/>
        <w:spacing w:after="50"/>
        <w:ind w:left="317" w:hanging="173"/>
      </w:pPr>
      <w:r>
        <w:rPr>
          <w:color w:val="2B2228"/>
          <w:sz w:val="18"/>
        </w:rPr>
        <w:t>Precios Free / Personal / Intelligence.</w:t>
      </w:r>
    </w:p>
    <w:p>
      <w:pPr>
        <w:pStyle w:val="ListBullet"/>
        <w:spacing w:after="50"/>
        <w:ind w:left="317" w:hanging="173"/>
      </w:pPr>
      <w:r>
        <w:rPr>
          <w:color w:val="2B2228"/>
          <w:sz w:val="18"/>
        </w:rPr>
        <w:t>Trial y descuento anual.</w:t>
      </w:r>
    </w:p>
    <w:p>
      <w:pPr>
        <w:pStyle w:val="ListBullet"/>
        <w:spacing w:after="50"/>
        <w:ind w:left="317" w:hanging="173"/>
      </w:pPr>
      <w:r>
        <w:rPr>
          <w:color w:val="2B2228"/>
          <w:sz w:val="18"/>
        </w:rPr>
        <w:t>Límites de voz, acciones IA, mail y automatizaciones por plan.</w:t>
      </w:r>
    </w:p>
    <w:p>
      <w:pPr>
        <w:pStyle w:val="ListBullet"/>
        <w:spacing w:after="50"/>
        <w:ind w:left="317" w:hanging="173"/>
      </w:pPr>
      <w:r>
        <w:rPr>
          <w:color w:val="2B2228"/>
          <w:sz w:val="18"/>
        </w:rPr>
        <w:t>Si @bemara.me va incluido en Intelligence o como add-on.</w:t>
      </w:r>
    </w:p>
    <w:p>
      <w:pPr>
        <w:pStyle w:val="ListBullet"/>
        <w:spacing w:after="50"/>
        <w:ind w:left="317" w:hanging="173"/>
      </w:pPr>
      <w:r>
        <w:rPr>
          <w:color w:val="2B2228"/>
          <w:sz w:val="18"/>
        </w:rPr>
        <w:t>Proveedor de conexión bancaria y su momento de entrada.</w:t>
      </w:r>
    </w:p>
    <w:p>
      <w:pPr>
        <w:pStyle w:val="ListBullet"/>
        <w:spacing w:after="50"/>
        <w:ind w:left="317" w:hanging="173"/>
      </w:pPr>
      <w:r>
        <w:rPr>
          <w:color w:val="2B2228"/>
          <w:sz w:val="18"/>
        </w:rPr>
        <w:t>Umbral de activación de Community.</w:t>
      </w:r>
    </w:p>
    <w:p>
      <w:pPr>
        <w:pStyle w:val="ListBullet"/>
        <w:spacing w:after="50"/>
        <w:ind w:left="317" w:hanging="173"/>
      </w:pPr>
      <w:r>
        <w:rPr>
          <w:color w:val="2B2228"/>
          <w:sz w:val="18"/>
        </w:rPr>
        <w:t>Mercados posteriores a México y localización legal.</w:t>
      </w:r>
    </w:p>
    <w:p>
      <w:pPr>
        <w:pStyle w:val="Heading1"/>
      </w:pPr>
      <w:r>
        <w:t>33. Referencias y restricciones externas vigentes al corte</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p>
      <w:pPr>
        <w:keepLines w:val="0"/>
      </w:pPr>
      <w:r>
        <w:t>Estas referencias justifican decisiones actuales de privacidad/pagos. Deben volver a revisarse antes de lanzamiento porque políticas y tarifas pueden cambiar.</w:t>
      </w:r>
    </w:p>
    <w:p>
      <w:pPr>
        <w:pStyle w:val="ListBullet"/>
        <w:spacing w:after="50"/>
        <w:ind w:left="317" w:hanging="173"/>
      </w:pPr>
      <w:r>
        <w:rPr>
          <w:color w:val="2B2228"/>
          <w:sz w:val="18"/>
        </w:rPr>
        <w:t>Cámara de Diputados — Ley Federal de Protección de Datos Personales en Posesión de los Particulares, texto vigente con última reforma DOF 14-11-2025: https://www.diputados.gob.mx/LeyesBiblio/pdf/LFPDPPP.pdf</w:t>
      </w:r>
    </w:p>
    <w:p>
      <w:pPr>
        <w:pStyle w:val="ListBullet"/>
        <w:spacing w:after="50"/>
        <w:ind w:left="317" w:hanging="173"/>
      </w:pPr>
      <w:r>
        <w:rPr>
          <w:color w:val="2B2228"/>
          <w:sz w:val="18"/>
        </w:rPr>
        <w:t>Apple — App Review Guidelines, sección 3.1 Payments: https://developer.apple.com/app-store/review/guidelines/</w:t>
      </w:r>
    </w:p>
    <w:p>
      <w:pPr>
        <w:pStyle w:val="ListBullet"/>
        <w:spacing w:after="50"/>
        <w:ind w:left="317" w:hanging="173"/>
      </w:pPr>
      <w:r>
        <w:rPr>
          <w:color w:val="2B2228"/>
          <w:sz w:val="18"/>
        </w:rPr>
        <w:t>Google Play — Payments policy: https://support.google.com/googleplay/android-developer/answer/10281818</w:t>
      </w:r>
    </w:p>
    <w:p>
      <w:pPr>
        <w:pStyle w:val="ListBullet"/>
        <w:spacing w:after="50"/>
        <w:ind w:left="317" w:hanging="173"/>
      </w:pPr>
      <w:r>
        <w:rPr>
          <w:color w:val="2B2228"/>
          <w:sz w:val="18"/>
        </w:rPr>
        <w:t>Conekta — pricing México: https://www.conekta.com/pricing</w:t>
      </w:r>
    </w:p>
    <w:p>
      <w:pPr>
        <w:pStyle w:val="ListBullet"/>
        <w:spacing w:after="50"/>
        <w:ind w:left="317" w:hanging="173"/>
      </w:pPr>
      <w:r>
        <w:rPr>
          <w:color w:val="2B2228"/>
          <w:sz w:val="18"/>
        </w:rPr>
        <w:t>Stripe México — pricing y Billing: https://stripe.com/mx/pricing y https://stripe.com/mx/billing/pricing</w:t>
      </w:r>
    </w:p>
    <w:p>
      <w:pPr>
        <w:pStyle w:val="ListBullet"/>
        <w:spacing w:after="50"/>
        <w:ind w:left="317" w:hanging="173"/>
      </w:pPr>
      <w:r>
        <w:rPr>
          <w:color w:val="2B2228"/>
          <w:sz w:val="18"/>
        </w:rPr>
        <w:t>OpenAI — business data privacy / API training defaults: https://openai.com/business-data/ ; ZDR: https://openai.com/index/offering-zero-data-retention-for-frontier-models/</w:t>
      </w:r>
    </w:p>
    <w:p>
      <w:pPr>
        <w:pStyle w:val="ListBullet"/>
        <w:spacing w:after="50"/>
        <w:ind w:left="317" w:hanging="173"/>
      </w:pPr>
      <w:r>
        <w:rPr>
          <w:color w:val="2B2228"/>
          <w:sz w:val="18"/>
        </w:rPr>
        <w:t>Anthropic Privacy Center — commercial/API data training and retention: https://privacy.anthropic.com/en/articles/7996868-is-my-data-used-for-model-training y https://privacy.anthropic.com/en/articles/7996866-how-long-do-you-store-my-organization-s-data</w:t>
      </w:r>
    </w:p>
    <w:p>
      <w:pPr>
        <w:pStyle w:val="ListBullet"/>
        <w:spacing w:after="50"/>
        <w:ind w:left="317" w:hanging="173"/>
      </w:pPr>
      <w:r>
        <w:rPr>
          <w:color w:val="2B2228"/>
          <w:sz w:val="18"/>
        </w:rPr>
        <w:t>Resend — transactional email pricing/capabilities: https://resend.com/pricing</w:t>
      </w:r>
    </w:p>
    <w:p>
      <w:pPr>
        <w:pStyle w:val="Heading1"/>
      </w:pPr>
      <w:r>
        <w:t>34. Inicio inmediato para Codex</w:t>
      </w:r>
    </w:p>
    <w:tbl>
      <w:tblPr>
        <w:tblW w:type="auto" w:w="0"/>
        <w:jc w:val="left"/>
        <w:tblLayout w:type="fixed"/>
        <w:tblLook w:firstColumn="1" w:firstRow="1" w:lastColumn="0" w:lastRow="0" w:noHBand="0" w:noVBand="1" w:val="04A0"/>
      </w:tblPr>
      <w:tblGrid>
        <w:gridCol w:w="1008"/>
        <w:gridCol w:w="8352"/>
      </w:tblGrid>
      <w:tr>
        <w:tc>
          <w:tcPr>
            <w:tcW w:type="dxa" w:w="5083"/>
            <w:shd w:fill="5B3443"/>
          </w:tcPr>
          <w:p/>
        </w:tc>
        <w:tc>
          <w:tcPr>
            <w:tcW w:type="dxa" w:w="5083"/>
            <w:shd w:fill="F7F1ED"/>
          </w:tcPr>
          <w:p/>
        </w:tc>
      </w:tr>
    </w:tbl>
    <w:p>
      <w:pPr>
        <w:spacing w:after="0"/>
      </w:pPr>
    </w:p>
    <w:tbl>
      <w:tblPr>
        <w:tblW w:type="auto" w:w="0"/>
        <w:jc w:val="center"/>
        <w:tblLook w:firstColumn="1" w:firstRow="1" w:lastColumn="0" w:lastRow="0" w:noHBand="0" w:noVBand="1" w:val="04A0"/>
      </w:tblPr>
      <w:tblGrid>
        <w:gridCol w:w="10166"/>
      </w:tblGrid>
      <w:tr>
        <w:tc>
          <w:tcPr>
            <w:tcW w:type="dxa" w:w="10166"/>
            <w:shd w:fill="F2E9E2"/>
            <w:tcBorders>
              <w:left w:val="single" w:sz="14" w:color="5B3443"/>
            </w:tcBorders>
          </w:tcPr>
          <w:p>
            <w:pPr>
              <w:spacing w:after="0"/>
            </w:pPr>
            <w:r>
              <w:rPr>
                <w:b/>
                <w:color w:val="5B3443"/>
                <w:sz w:val="18"/>
              </w:rPr>
              <w:t>BEMARA debe sentirse desde el primer release como una plataforma creada para una mujer completa, no como un software administrativo al que después se le pondrá “feminidad”.</w:t>
            </w:r>
          </w:p>
        </w:tc>
      </w:tr>
    </w:tbl>
    <w:p>
      <w:pPr>
        <w:spacing w:after="20"/>
      </w:pPr>
    </w:p>
    <w:p>
      <w:pPr>
        <w:keepLines w:val="0"/>
      </w:pPr>
      <w:r>
        <w:t>Codex debe comenzar por Fase 0 y crear una base ejecutable, limpia y documentada. No debe intentar implementar los 14 dominios simultáneamente antes de tener Identity, Consent, Life Graph, AI Gateway, design system e i18n.</w:t>
      </w:r>
    </w:p>
    <w:p>
      <w:pPr>
        <w:keepLines w:val="0"/>
      </w:pPr>
      <w:r>
        <w:t>Primer objetivo concreto: monorepo operativo con web/PWA, mobile, operations, API, database/migrations, auth, design tokens, i18n, CI, env contracts y documentación de setup. Segundo objetivo: onboarding adaptativo + Home base + LENA Core + Memory/Consent. A partir de ahí, los dominios se incorporan siguiendo los contratos de este documento.</w:t>
      </w:r>
    </w:p>
    <w:p>
      <w:pPr>
        <w:keepLines w:val="0"/>
      </w:pPr>
      <w:r>
        <w:t>Cada entrega deberá incluir typecheck, lint, tests pertinentes, build, migraciones reproducibles, estado git limpio y QA visual real en web/mobile. No declarar una fase cerrada sólo porque compila.</w:t>
      </w:r>
    </w:p>
    <w:p>
      <w:r>
        <w:br w:type="page"/>
      </w:r>
    </w:p>
    <w:p>
      <w:pPr>
        <w:pStyle w:val="Heading1"/>
      </w:pPr>
      <w:r>
        <w:t>Anexo A · Enlaces de referencia</w:t>
      </w:r>
    </w:p>
    <w:p>
      <w:hyperlink r:id="rId11">
        <w:r>
          <w:rPr>
            <w:color w:val="5B3443"/>
          </w:rPr>
          <w:t>LFPDPPP — Cámara de Diputados</w:t>
        </w:r>
      </w:hyperlink>
    </w:p>
    <w:p>
      <w:hyperlink r:id="rId12">
        <w:r>
          <w:rPr>
            <w:color w:val="5B3443"/>
          </w:rPr>
          <w:t>Apple App Review Guidelines</w:t>
        </w:r>
      </w:hyperlink>
    </w:p>
    <w:p>
      <w:hyperlink r:id="rId13">
        <w:r>
          <w:rPr>
            <w:color w:val="5B3443"/>
          </w:rPr>
          <w:t>Google Play Payments Policy</w:t>
        </w:r>
      </w:hyperlink>
    </w:p>
    <w:p>
      <w:hyperlink r:id="rId14">
        <w:r>
          <w:rPr>
            <w:color w:val="5B3443"/>
          </w:rPr>
          <w:t>Conekta Pricing</w:t>
        </w:r>
      </w:hyperlink>
    </w:p>
    <w:p>
      <w:hyperlink r:id="rId15">
        <w:r>
          <w:rPr>
            <w:color w:val="5B3443"/>
          </w:rPr>
          <w:t>Stripe México Pricing</w:t>
        </w:r>
      </w:hyperlink>
    </w:p>
    <w:p>
      <w:hyperlink r:id="rId16">
        <w:r>
          <w:rPr>
            <w:color w:val="5B3443"/>
          </w:rPr>
          <w:t>OpenAI Business Data</w:t>
        </w:r>
      </w:hyperlink>
    </w:p>
    <w:p>
      <w:hyperlink r:id="rId17">
        <w:r>
          <w:rPr>
            <w:color w:val="5B3443"/>
          </w:rPr>
          <w:t>Anthropic Commercial Privacy</w:t>
        </w:r>
      </w:hyperlink>
    </w:p>
    <w:p>
      <w:hyperlink r:id="rId18">
        <w:r>
          <w:rPr>
            <w:color w:val="5B3443"/>
          </w:rPr>
          <w:t>Resend Pricing</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C7B85"/>
        <w:sz w:val="16"/>
      </w:rPr>
      <w:t xml:space="preserve">BEMARA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Questrial" w:hAnsi="Questrial" w:eastAsia="Questrial"/>
      <w:color w:val="2B22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Questrial" w:hAnsi="Questrial" w:eastAsia="Questrial"/>
      <w:b w:val="0"/>
      <w:bCs/>
      <w:color w:val="24182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Questrial" w:hAnsi="Questrial" w:eastAsia="Questrial"/>
      <w:b w:val="0"/>
      <w:bCs/>
      <w:color w:val="5B344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Questrial" w:hAnsi="Questrial" w:eastAsia="Questrial"/>
      <w:b w:val="0"/>
      <w:bCs/>
      <w:color w:val="9C7B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Questrial" w:hAnsi="Questrial" w:eastAsia="Questrial"/>
      <w:b w:val="0"/>
      <w:color w:val="24182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Montserrat" w:hAnsi="Montserrat"/>
      <w:b/>
      <w:color w:val="5B344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yperlink" Target="https://www.diputados.gob.mx/LeyesBiblio/pdf/LFPDPPP.pdf" TargetMode="External"/><Relationship Id="rId12" Type="http://schemas.openxmlformats.org/officeDocument/2006/relationships/hyperlink" Target="https://developer.apple.com/app-store/review/guidelines/" TargetMode="External"/><Relationship Id="rId13" Type="http://schemas.openxmlformats.org/officeDocument/2006/relationships/hyperlink" Target="https://support.google.com/googleplay/android-developer/answer/10281818" TargetMode="External"/><Relationship Id="rId14" Type="http://schemas.openxmlformats.org/officeDocument/2006/relationships/hyperlink" Target="https://www.conekta.com/pricing" TargetMode="External"/><Relationship Id="rId15" Type="http://schemas.openxmlformats.org/officeDocument/2006/relationships/hyperlink" Target="https://stripe.com/mx/pricing" TargetMode="External"/><Relationship Id="rId16" Type="http://schemas.openxmlformats.org/officeDocument/2006/relationships/hyperlink" Target="https://openai.com/business-data/" TargetMode="External"/><Relationship Id="rId17" Type="http://schemas.openxmlformats.org/officeDocument/2006/relationships/hyperlink" Target="https://privacy.anthropic.com/en/articles/7996868-is-my-data-used-for-model-training" TargetMode="External"/><Relationship Id="rId18" Type="http://schemas.openxmlformats.org/officeDocument/2006/relationships/hyperlink" Target="https://resend.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BEMARA — Manifiesto Maestro de Producto y Desarrollo</dc:title>
  <dc:subject>Fuente de verdad para Codex</dc:subject>
  <dc:creator>ALQIA / BEMARA</dc:creator>
  <cp:keywords>BEMARA, LENA, producto, desarrollo, IA, mobile, PWA, Life Graph</cp:keywords>
  <dc:description>generated by python-docx</dc:description>
  <cp:lastModifiedBy/>
  <cp:revision>1</cp:revision>
  <dcterms:created xsi:type="dcterms:W3CDTF">2013-12-23T23:15:00Z</dcterms:created>
  <dcterms:modified xsi:type="dcterms:W3CDTF">2013-12-23T23:15:00Z</dcterms:modified>
  <cp:category/>
</cp:coreProperties>
</file>