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00"/>
      </w:pPr>
      <w:r>
        <w:rPr>
          <w:rFonts w:ascii="Arial" w:hAnsi="Arial" w:cs="Arial"/>
          <w:sz w:val="56"/>
          <w:sz-cs w:val="56"/>
          <w:b/>
          <w:spacing w:val="0"/>
          <w:color w:val="0E2D73"/>
        </w:rPr>
        <w:t xml:space="preserve">Motore di punteggio obiettivi - versione tecnica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Il punteggio di raggiungimento obiettivo nasce da un motore deterministico. Il RAG non entra nella formula: il suo ruolo e solo spiegare e contestualizzare.</w:t>
      </w:r>
    </w:p>
    <w:p>
      <w:pPr>
        <w:spacing w:after="200"/>
      </w:pPr>
      <w:r>
        <w:rPr>
          <w:rFonts w:ascii="Arial" w:hAnsi="Arial" w:cs="Arial"/>
          <w:sz w:val="36"/>
          <w:sz-cs w:val="36"/>
          <w:b/>
          <w:spacing w:val="0"/>
          <w:color w:val="0E2D73"/>
        </w:rPr>
        <w:t xml:space="preserve">1. Foundation score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Per ogni obiettivo il motore costruisce una base finanziaria del cliente prima di simulare qualsiasi evento.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capitalCoverage   = quota patrimonio utile / target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savingsCoverage   = capacita di risparmio sostenibile / target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liquidityCoverage = liquidita disponibile / soglia di sicurezza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foundationScore =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0.45 * capitalCoverage +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0.35 * savingsCoverage +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0.20 * liquidityCoverage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Successivamente il punteggio viene corretto con benchmark di famiglie simili per reddito, patrimonio e attivita finanziarie.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foundationScore corretta =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foundationScore * 0.78 +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peerScore * 0.22</w:t>
      </w:r>
    </w:p>
    <w:p>
      <w:pPr>
        <w:spacing w:after="200"/>
      </w:pPr>
      <w:r>
        <w:rPr>
          <w:rFonts w:ascii="Arial" w:hAnsi="Arial" w:cs="Arial"/>
          <w:sz w:val="36"/>
          <w:sz-cs w:val="36"/>
          <w:b/>
          <w:spacing w:val="0"/>
          <w:color w:val="0E2D73"/>
        </w:rPr>
        <w:t xml:space="preserve">2. Scelta dello scenario pivot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Per ogni obiettivo non viene usato uno scenario fisso. Il motore ordina gli scenari per priorita e sceglie quello piu rilevante per il profilo.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scenarioPriority =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(goalGap senza copertura +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 delayYears * 9000 +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 totalLossValue * 0.03)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* scenarioRelevance</w:t>
      </w:r>
    </w:p>
    <w:p>
      <w:pPr>
        <w:spacing w:after="200"/>
      </w:pPr>
      <w:r>
        <w:rPr>
          <w:rFonts w:ascii="Arial" w:hAnsi="Arial" w:cs="Arial"/>
          <w:sz w:val="24"/>
          <w:sz-cs w:val="24"/>
          <w:b/>
          <w:spacing w:val="0"/>
          <w:color w:val="10192A"/>
        </w:rPr>
        <w:t xml:space="preserve">scenarioRelevance</w:t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 dipende da: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eta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figli o partner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casa o mutuo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rischio professionale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coerenza con il goal analizzato</w:t>
      </w:r>
    </w:p>
    <w:p>
      <w:pPr>
        <w:spacing w:after="200"/>
      </w:pPr>
      <w:r>
        <w:rPr>
          <w:rFonts w:ascii="Arial" w:hAnsi="Arial" w:cs="Arial"/>
          <w:sz w:val="36"/>
          <w:sz-cs w:val="36"/>
          <w:b/>
          <w:spacing w:val="0"/>
          <w:color w:val="0E2D73"/>
        </w:rPr>
        <w:t xml:space="preserve">3. Ramo senza polizza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Il ramo senza polizza applica il danno pieno dello scenario: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noCoverageImpact = {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upfrontLoss,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monthlyLoss,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durationMonths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}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Il motore proietta poi il capitale fino alla data target del goal.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capitale(t) =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capitale(t-1) * rendimento atteso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+ risparmio mensile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- perdita mensile da scenario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Output letti alla scadenza: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availableCapital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goalGap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delayYears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achievement</w:t>
      </w:r>
    </w:p>
    <w:p>
      <w:pPr>
        <w:spacing w:after="200"/>
      </w:pPr>
      <w:r>
        <w:rPr>
          <w:rFonts w:ascii="Arial" w:hAnsi="Arial" w:cs="Arial"/>
          <w:sz w:val="36"/>
          <w:sz-cs w:val="36"/>
          <w:b/>
          <w:spacing w:val="0"/>
          <w:color w:val="0E2D73"/>
        </w:rPr>
        <w:t xml:space="preserve">4. Ramo con polizza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Il ramo con polizza sottrae al danno scenario il supporto economico delle coperture selezionate.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withCoverageImpact =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noCoverageImpact - supporto economico aggregato delle polizze attive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Logica di supporto coperture: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TCM -&gt; scenario morte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Income protection -&gt; scenario invalidita / blocco reddito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RC casa -&gt; scenario RC e scenario casa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LTC -&gt; scenario LTC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Health -&gt; supporto su IP e LTC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Accident -&gt; supporto su IP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Mortgage -&gt; supporto su morte o invalidita con mutuo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La proiezione con polizza tiene conto sia della riduzione del danno sia del premio mensile che grava sul risparmio.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capitale(t) con polizza =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capitale(t-1) * rendimento atteso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+ risparmio mensile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- premio polizze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- perdita mensile residua dopo supporto</w:t>
      </w:r>
    </w:p>
    <w:p>
      <w:pPr>
        <w:spacing w:after="200"/>
      </w:pPr>
      <w:r>
        <w:rPr>
          <w:rFonts w:ascii="Arial" w:hAnsi="Arial" w:cs="Arial"/>
          <w:sz w:val="36"/>
          <w:sz-cs w:val="36"/>
          <w:b/>
          <w:spacing w:val="0"/>
          <w:color w:val="0E2D73"/>
        </w:rPr>
        <w:t xml:space="preserve">5. Costruzione dello score finale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Una volta costruiti i due rami, il motore calcola il punteggio obiettivo su scala 0-100.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achievementRatio = achievement / 100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targetCoverage   = 1 - goalGap / target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capitalRetention = capitale post-evento / patrimonio totale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delayScore       = 1 - delayYears / (orizzonte + 3)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resilienceScore =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0.40 * targetCoverage +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0.25 * achievementRatio +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0.20 * capitalRetention +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0.15 * delayScore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finalScore =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0.45 * foundationScore +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0.55 * resilienceScore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Per evitare un azzeramento innaturale viene applicato un pavimento minimo.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floorScore = foundationScore * 0.30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score finale = max(finalScore, floorScore)</w:t>
      </w:r>
    </w:p>
    <w:p>
      <w:pPr>
        <w:spacing w:after="200"/>
      </w:pPr>
      <w:r>
        <w:rPr>
          <w:rFonts w:ascii="Arial" w:hAnsi="Arial" w:cs="Arial"/>
          <w:sz w:val="36"/>
          <w:sz-cs w:val="36"/>
          <w:b/>
          <w:spacing w:val="0"/>
          <w:color w:val="0E2D73"/>
        </w:rPr>
        <w:t xml:space="preserve">6. Come leggere senza polizza vs con polizza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score senza polizza = goalResilienceScore(..., branch = noCoverage)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score con polizza   = goalResilienceScore(..., branch = withCoverage)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delta punti = score con polizza - score senza polizza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Il delta non e un bonus fisso per prodotto. Dipende da quanto la copertura: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riduce il gap economico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riduce il ritardo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preserva capitale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aumenta la probabilita di raggiungimento</w:t>
      </w:r>
    </w:p>
    <w:p>
      <w:pPr>
        <w:spacing w:after="200"/>
      </w:pPr>
      <w:r>
        <w:rPr>
          <w:rFonts w:ascii="Arial" w:hAnsi="Arial" w:cs="Arial"/>
          <w:sz w:val="36"/>
          <w:sz-cs w:val="36"/>
          <w:b/>
          <w:spacing w:val="0"/>
          <w:color w:val="0E2D73"/>
        </w:rPr>
        <w:t xml:space="preserve">7. Perche in alcuni casi la polizza aggiunge piu punti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Se una copertura aggiunge molti punti significa che quella copertura agisce proprio sul rischio pivot dell'obiettivo. Esempi: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Income protection su obiettivi dipendenti dal reddito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TCM su famiglie con figli o partner economicamente dipendenti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RC casa su proprietari o clienti con alta esposizione patrimoniale</w:t>
      </w:r>
    </w:p>
    <w:p>
      <w:pPr/>
      <w:r>
        <w:rPr>
          <w:rFonts w:ascii="Arial" w:hAnsi="Arial" w:cs="Arial"/>
          <w:sz w:val="24"/>
          <w:sz-cs w:val="24"/>
          <w:spacing w:val="0"/>
          <w:color w:val="10192A"/>
        </w:rPr>
        <w:t xml:space="preserve">Sintesi tecnica: il motore obiettivo e una composizione tra solidita iniziale del cliente e resilienza del piano sotto scenario rilevante, confrontata in due rami distinti, senza copertura e con copertura.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