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line="276"/>
      </w:pPr>
      <w:r>
        <w:rPr>
          <w:rFonts w:ascii="Calibri" w:cs="Calibri" w:eastAsia="Calibri" w:hAnsi="Calibri"/>
          <w:b/>
          <w:bCs/>
          <w:color w:val="14497E"/>
          <w:sz w:val="26"/>
          <w:szCs w:val="26"/>
        </w:rPr>
        <w:t xml:space="preserve">ALQUIMIA</w:t>
      </w:r>
    </w:p>
    <w:p>
      <w:pPr>
        <w:spacing w:after="500" w:before="0" w:line="276"/>
      </w:pPr>
      <w:r>
        <w:rPr>
          <w:rFonts w:ascii="Calibri" w:cs="Calibri" w:eastAsia="Calibri" w:hAnsi="Calibri"/>
          <w:color w:val="5A6470"/>
          <w:sz w:val="19"/>
          <w:szCs w:val="19"/>
        </w:rPr>
        <w:t xml:space="preserve">Documento de trabajo interno</w:t>
      </w:r>
    </w:p>
    <w:p>
      <w:pPr>
        <w:pBdr>
          <w:top w:val="single" w:color="FBEAEA" w:sz="2" w:space="8"/>
          <w:left w:val="single" w:color="8A1C1C" w:sz="18" w:space="10"/>
        </w:pBdr>
        <w:shd w:fill="FBEAEA" w:color="auto" w:val="clear"/>
        <w:spacing w:after="60" w:before="150" w:line="270"/>
        <w:ind w:left="150" w:right="150"/>
      </w:pPr>
      <w:r>
        <w:rPr>
          <w:rFonts w:ascii="Calibri" w:cs="Calibri" w:eastAsia="Calibri" w:hAnsi="Calibri"/>
          <w:b/>
          <w:bCs/>
          <w:color w:val="8A1C1C"/>
          <w:sz w:val="30"/>
          <w:szCs w:val="30"/>
        </w:rPr>
        <w:t xml:space="preserve">USO INTERNO · NO ENVIAR AL CLIENTE</w:t>
      </w:r>
    </w:p>
    <w:p>
      <w:pPr>
        <w:pBdr>
          <w:bottom w:val="single" w:color="FBEAEA" w:sz="2" w:space="8"/>
          <w:left w:val="single" w:color="8A1C1C" w:sz="18" w:space="10"/>
        </w:pBdr>
        <w:shd w:fill="FBEAEA" w:color="auto" w:val="clear"/>
        <w:spacing w:after="180" w:before="0" w:line="270"/>
        <w:ind w:left="150" w:right="150"/>
      </w:pPr>
      <w:r>
        <w:rPr>
          <w:rFonts w:ascii="Calibri" w:cs="Calibri" w:eastAsia="Calibri" w:hAnsi="Calibri"/>
          <w:color w:val="1A1A1A"/>
          <w:sz w:val="21"/>
          <w:szCs w:val="21"/>
        </w:rPr>
        <w:t xml:space="preserve">Este documento contiene la estructura de costos y el precio piso de ALQUIMIA. Entregarlo a un comprador equivale a mostrarle hasta dónde puede presionar: la negociación terminaría exactamente en ese número. La propuesta que sí se envía es «propuesta-brujula-camaras.docx».</w:t>
      </w:r>
    </w:p>
    <w:p>
      <w:pPr>
        <w:spacing w:after="90" w:before="500" w:line="276"/>
      </w:pPr>
      <w:r>
        <w:rPr>
          <w:rFonts w:ascii="Calibri" w:cs="Calibri" w:eastAsia="Calibri" w:hAnsi="Calibri"/>
          <w:b/>
          <w:bCs/>
          <w:color w:val="14497E"/>
          <w:sz w:val="48"/>
          <w:szCs w:val="48"/>
        </w:rPr>
        <w:t xml:space="preserve">Sustentación de precio</w:t>
      </w:r>
    </w:p>
    <w:p>
      <w:pPr>
        <w:spacing w:after="60" w:before="0" w:line="276"/>
      </w:pPr>
      <w:r>
        <w:rPr>
          <w:rFonts w:ascii="Calibri" w:cs="Calibri" w:eastAsia="Calibri" w:hAnsi="Calibri"/>
          <w:color w:val="5A6470"/>
          <w:sz w:val="24"/>
          <w:szCs w:val="24"/>
        </w:rPr>
        <w:t xml:space="preserve">Brújula empresarial · licenciamiento a cámaras de comercio</w:t>
      </w:r>
    </w:p>
    <w:p>
      <w:pPr>
        <w:pBdr>
          <w:bottom w:val="single" w:color="0C7A6F" w:sz="14" w:space="4"/>
        </w:pBdr>
        <w:spacing w:after="420"/>
      </w:pPr>
    </w:p>
    <w:p>
      <w:pPr>
        <w:spacing w:after="140" w:before="0" w:line="276"/>
      </w:pPr>
      <w:r>
        <w:rPr>
          <w:rFonts w:ascii="Calibri" w:cs="Calibri" w:eastAsia="Calibri" w:hAnsi="Calibri"/>
          <w:i/>
          <w:iCs/>
          <w:color w:val="5A6470"/>
          <w:sz w:val="19"/>
          <w:szCs w:val="19"/>
        </w:rPr>
        <w:t xml:space="preserve">Todas las cifras de este documento y de la propuesta se calculan en docs/comercial/modelo-precio.py. Es la única fuente: si un supuesto cambia, se cambia allí y se regeneran los dos archivos con scripts/comercial/. Así nunca circulan dos versiones del mismo número.</w:t>
      </w:r>
    </w:p>
    <w:p>
      <w:r>
        <w:br w:type="page"/>
      </w:r>
    </w:p>
    <w:p>
      <w:pPr>
        <w:pStyle w:val="Heading1"/>
        <w:pBdr>
          <w:bottom w:val="single" w:color="BBD1E8" w:sz="10" w:space="6"/>
        </w:pBdr>
        <w:spacing w:after="170" w:before="380"/>
      </w:pPr>
      <w:r>
        <w:rPr>
          <w:rFonts w:ascii="Calibri" w:cs="Calibri" w:eastAsia="Calibri" w:hAnsi="Calibri"/>
          <w:b/>
          <w:bCs/>
          <w:color w:val="14497E"/>
          <w:sz w:val="30"/>
          <w:szCs w:val="30"/>
        </w:rPr>
        <w:t xml:space="preserve">1 · Costo fijo mensual</w:t>
      </w:r>
    </w:p>
    <w:p>
      <w:pPr>
        <w:spacing w:after="140" w:before="0" w:line="276"/>
      </w:pPr>
      <w:r>
        <w:rPr>
          <w:rFonts w:ascii="Calibri" w:cs="Calibri" w:eastAsia="Calibri" w:hAnsi="Calibri"/>
          <w:color w:val="1A1A1A"/>
          <w:sz w:val="21"/>
          <w:szCs w:val="21"/>
        </w:rPr>
        <w:t xml:space="preserve">Una sola instalación sirve a todas las cámaras: la arquitectura ya es multi-inquilino, así que la infraestructura no se multiplica por cliente. Supabase Pro incluye 100.000 usuarios activos y 8 GB, y una bitácora completa pesa menos de 100 KB. A escala de cientos de usuarios la infraestructura es un costo fijo, no variable. De ahí sale el margen.</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4760"/>
        <w:gridCol w:w="2300"/>
        <w:gridCol w:w="2300"/>
      </w:tblGrid>
      <w:tr>
        <w:trPr>
          <w:tblHeader/>
        </w:trPr>
        <w:tc>
          <w:tcPr>
            <w:tcW w:type="dxa" w:w="47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Rubro</w:t>
            </w:r>
          </w:p>
        </w:tc>
        <w:tc>
          <w:tcPr>
            <w:tcW w:type="dxa" w:w="23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USD / mes</w:t>
            </w:r>
          </w:p>
        </w:tc>
        <w:tc>
          <w:tcPr>
            <w:tcW w:type="dxa" w:w="23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COP / mes</w:t>
            </w:r>
          </w:p>
        </w:tc>
      </w:tr>
      <w:tr>
        <w:tc>
          <w:tcPr>
            <w:tcW w:type="dxa" w:w="47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Supabase Pro (base de datos, autenticación)</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USD 25,00</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$80.000</w:t>
            </w:r>
          </w:p>
        </w:tc>
      </w:tr>
      <w:tr>
        <w:tc>
          <w:tcPr>
            <w:tcW w:type="dxa" w:w="47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Vercel Pro (despliegue y red de entrega)</w:t>
            </w:r>
          </w:p>
        </w:tc>
        <w:tc>
          <w:tcPr>
            <w:tcW w:type="dxa" w:w="23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USD 20,00</w:t>
            </w:r>
          </w:p>
        </w:tc>
        <w:tc>
          <w:tcPr>
            <w:tcW w:type="dxa" w:w="23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$64.000</w:t>
            </w:r>
          </w:p>
        </w:tc>
      </w:tr>
      <w:tr>
        <w:tc>
          <w:tcPr>
            <w:tcW w:type="dxa" w:w="47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Dominio propio</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USD 1,25</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$4.000</w:t>
            </w:r>
          </w:p>
        </w:tc>
      </w:tr>
      <w:tr>
        <w:tc>
          <w:tcPr>
            <w:tcW w:type="dxa" w:w="476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Subtotal infraestructura</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USD 46,25</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$148.000</w:t>
            </w:r>
          </w:p>
        </w:tc>
      </w:tr>
      <w:tr>
        <w:tc>
          <w:tcPr>
            <w:tcW w:type="dxa" w:w="47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Overhead asignado · 40,0 % de $7.500.000</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$3.000.000</w:t>
            </w:r>
          </w:p>
        </w:tc>
      </w:tr>
      <w:tr>
        <w:tc>
          <w:tcPr>
            <w:tcW w:type="dxa" w:w="476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COSTO FIJO TOTAL</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$3.148.000</w:t>
            </w:r>
          </w:p>
        </w:tc>
      </w:tr>
      <w:tr>
        <w:tc>
          <w:tcPr>
            <w:tcW w:type="dxa" w:w="4760"/>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Costo fijo anual</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$37.776.000</w:t>
            </w:r>
          </w:p>
        </w:tc>
      </w:tr>
    </w:tbl>
    <w:p>
      <w:pPr>
        <w:spacing w:after="4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Previsto, todavía sin pagar</w:t>
      </w:r>
    </w:p>
    <w:p>
      <w:pPr>
        <w:spacing w:after="140" w:before="0" w:line="276"/>
      </w:pPr>
      <w:r>
        <w:rPr>
          <w:rFonts w:ascii="Calibri" w:cs="Calibri" w:eastAsia="Calibri" w:hAnsi="Calibri"/>
          <w:color w:val="1A1A1A"/>
          <w:sz w:val="21"/>
          <w:szCs w:val="21"/>
        </w:rPr>
        <w:t xml:space="preserve">Estos dos no están en el cuadro de arriba a propósito. Cargarlos al costo corriente infla el precio con servicios que hoy no se usan, y el precio inflado se nota en la mesa.</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4760"/>
        <w:gridCol w:w="2300"/>
        <w:gridCol w:w="2300"/>
      </w:tblGrid>
      <w:tr>
        <w:trPr>
          <w:tblHeader/>
        </w:trPr>
        <w:tc>
          <w:tcPr>
            <w:tcW w:type="dxa" w:w="4760"/>
            <w:shd w:fill="0C7A6F"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Rubro</w:t>
            </w:r>
          </w:p>
        </w:tc>
        <w:tc>
          <w:tcPr>
            <w:tcW w:type="dxa" w:w="2300"/>
            <w:shd w:fill="0C7A6F"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USD / mes</w:t>
            </w:r>
          </w:p>
        </w:tc>
        <w:tc>
          <w:tcPr>
            <w:tcW w:type="dxa" w:w="2300"/>
            <w:shd w:fill="0C7A6F"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COP / mes</w:t>
            </w:r>
          </w:p>
        </w:tc>
      </w:tr>
      <w:tr>
        <w:tc>
          <w:tcPr>
            <w:tcW w:type="dxa" w:w="47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Sentry (monitoreo de errores)</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USD 26,00</w:t>
            </w:r>
          </w:p>
        </w:tc>
        <w:tc>
          <w:tcPr>
            <w:tcW w:type="dxa" w:w="23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$83.200</w:t>
            </w:r>
          </w:p>
        </w:tc>
      </w:tr>
      <w:tr>
        <w:tc>
          <w:tcPr>
            <w:tcW w:type="dxa" w:w="47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Resend Pro (correo transaccional)</w:t>
            </w:r>
          </w:p>
        </w:tc>
        <w:tc>
          <w:tcPr>
            <w:tcW w:type="dxa" w:w="23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USD 20,00</w:t>
            </w:r>
          </w:p>
        </w:tc>
        <w:tc>
          <w:tcPr>
            <w:tcW w:type="dxa" w:w="23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$64.000</w:t>
            </w:r>
          </w:p>
        </w:tc>
      </w:tr>
      <w:tr>
        <w:tc>
          <w:tcPr>
            <w:tcW w:type="dxa" w:w="476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Si ambos entraran</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USD 46,00</w:t>
            </w:r>
          </w:p>
        </w:tc>
        <w:tc>
          <w:tcPr>
            <w:tcW w:type="dxa" w:w="23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$147.200</w:t>
            </w:r>
          </w:p>
        </w:tc>
      </w:tr>
    </w:tbl>
    <w:p>
      <w:pPr>
        <w:pStyle w:val="ListParagraph"/>
        <w:numPr>
          <w:ilvl w:val="0"/>
          <w:numId w:val="2"/>
        </w:numPr>
        <w:spacing w:after="70" w:line="264"/>
      </w:pPr>
      <w:r>
        <w:rPr>
          <w:rFonts w:ascii="Calibri" w:cs="Calibri" w:eastAsia="Calibri" w:hAnsi="Calibri"/>
          <w:b/>
          <w:bCs/>
          <w:color w:val="1A1A1A"/>
          <w:sz w:val="21"/>
          <w:szCs w:val="21"/>
        </w:rPr>
        <w:t xml:space="preserve">Sentry </w:t>
      </w:r>
      <w:r>
        <w:rPr>
          <w:rFonts w:ascii="Calibri" w:cs="Calibri" w:eastAsia="Calibri" w:hAnsi="Calibri"/>
          <w:color w:val="1A1A1A"/>
          <w:sz w:val="21"/>
          <w:szCs w:val="21"/>
        </w:rPr>
        <w:t xml:space="preserve">entra cuando haya clientes pagando y enterarse de una falla después que ellos deje de ser aceptable. Hoy no está instalado en el proyecto.</w:t>
      </w:r>
    </w:p>
    <w:p>
      <w:pPr>
        <w:pStyle w:val="ListParagraph"/>
        <w:numPr>
          <w:ilvl w:val="0"/>
          <w:numId w:val="2"/>
        </w:numPr>
        <w:spacing w:after="70" w:line="264"/>
      </w:pPr>
      <w:r>
        <w:rPr>
          <w:rFonts w:ascii="Calibri" w:cs="Calibri" w:eastAsia="Calibri" w:hAnsi="Calibri"/>
          <w:b/>
          <w:bCs/>
          <w:color w:val="1A1A1A"/>
          <w:sz w:val="21"/>
          <w:szCs w:val="21"/>
        </w:rPr>
        <w:t xml:space="preserve">Resend Pro </w:t>
      </w:r>
      <w:r>
        <w:rPr>
          <w:rFonts w:ascii="Calibri" w:cs="Calibri" w:eastAsia="Calibri" w:hAnsi="Calibri"/>
          <w:color w:val="1A1A1A"/>
          <w:sz w:val="21"/>
          <w:szCs w:val="21"/>
        </w:rPr>
        <w:t xml:space="preserve">entra por encima de 3.000 correos al mes. El plan gratuito sobra para una cohorte de noventa personas.</w:t>
      </w:r>
    </w:p>
    <w:p>
      <w:pPr>
        <w:spacing w:after="140" w:before="90" w:line="276"/>
      </w:pPr>
      <w:r>
        <w:rPr>
          <w:rFonts w:ascii="Calibri" w:cs="Calibri" w:eastAsia="Calibri" w:hAnsi="Calibri"/>
          <w:i/>
          <w:iCs/>
          <w:color w:val="5A6470"/>
          <w:sz w:val="21"/>
          <w:szCs w:val="21"/>
        </w:rPr>
        <w:t xml:space="preserve">Aun sumando los dos, la infraestructura pesa menos del 10 % del costo fijo. Lo que decide el precio es el overhead, no los servidores.</w:t>
      </w:r>
    </w:p>
    <w:p>
      <w:pPr>
        <w:pStyle w:val="Heading2"/>
        <w:spacing w:after="110" w:before="260"/>
      </w:pPr>
      <w:r>
        <w:rPr>
          <w:rFonts w:ascii="Calibri" w:cs="Calibri" w:eastAsia="Calibri" w:hAnsi="Calibri"/>
          <w:b/>
          <w:bCs/>
          <w:color w:val="1B6AB5"/>
          <w:sz w:val="24"/>
          <w:szCs w:val="24"/>
        </w:rPr>
        <w:t xml:space="preserve">Los dos supuestos que mueven todo</w:t>
      </w:r>
    </w:p>
    <w:p>
      <w:pPr>
        <w:pStyle w:val="ListParagraph"/>
        <w:numPr>
          <w:ilvl w:val="0"/>
          <w:numId w:val="2"/>
        </w:numPr>
        <w:spacing w:after="70" w:line="264"/>
      </w:pPr>
      <w:r>
        <w:rPr>
          <w:rFonts w:ascii="Calibri" w:cs="Calibri" w:eastAsia="Calibri" w:hAnsi="Calibri"/>
          <w:b/>
          <w:bCs/>
          <w:color w:val="1A1A1A"/>
          <w:sz w:val="21"/>
          <w:szCs w:val="21"/>
        </w:rPr>
        <w:t xml:space="preserve">TRM de $3.200. </w:t>
      </w:r>
      <w:r>
        <w:rPr>
          <w:rFonts w:ascii="Calibri" w:cs="Calibri" w:eastAsia="Calibri" w:hAnsi="Calibri"/>
          <w:color w:val="1A1A1A"/>
          <w:sz w:val="21"/>
          <w:szCs w:val="21"/>
        </w:rPr>
        <w:t xml:space="preserve">La infraestructura se paga en dólares y el contrato se cobra en pesos. El esquema financiero documenta un movimiento del 7 % en un solo mes (julio a agosto de 2026). De ahí la cláusula de revisión extraordinaria por TRM.</w:t>
      </w:r>
    </w:p>
    <w:p>
      <w:pPr>
        <w:pStyle w:val="ListParagraph"/>
        <w:numPr>
          <w:ilvl w:val="0"/>
          <w:numId w:val="2"/>
        </w:numPr>
        <w:spacing w:after="70" w:line="264"/>
      </w:pPr>
      <w:r>
        <w:rPr>
          <w:rFonts w:ascii="Calibri" w:cs="Calibri" w:eastAsia="Calibri" w:hAnsi="Calibri"/>
          <w:b/>
          <w:bCs/>
          <w:color w:val="1A1A1A"/>
          <w:sz w:val="21"/>
          <w:szCs w:val="21"/>
        </w:rPr>
        <w:t xml:space="preserve">Overhead asignado del 40,0 %. </w:t>
      </w:r>
      <w:r>
        <w:rPr>
          <w:rFonts w:ascii="Calibri" w:cs="Calibri" w:eastAsia="Calibri" w:hAnsi="Calibri"/>
          <w:color w:val="1A1A1A"/>
          <w:sz w:val="21"/>
          <w:szCs w:val="21"/>
        </w:rPr>
        <w:t xml:space="preserve">Es la porción del Escenario 1 —fundador solo, $7.500.000/mes— que consume esta línea: soporte a cohortes, mantenimiento evolutivo, carga de contenido y atención comercial. Bajarlo al 25 % lleva el costo fijo a $2.023.000; subirlo al 100 % lo lleva a $7.648.000.</w:t>
      </w:r>
    </w:p>
    <w:p>
      <w:pPr>
        <w:pBdr>
          <w:top w:val="single" w:color="FBEAEA" w:sz="2" w:space="8"/>
          <w:left w:val="single" w:color="8A1C1C" w:sz="18" w:space="10"/>
        </w:pBdr>
        <w:shd w:fill="FBEAEA" w:color="auto" w:val="clear"/>
        <w:spacing w:after="60" w:before="150" w:line="270"/>
        <w:ind w:left="150" w:right="150"/>
      </w:pPr>
      <w:r>
        <w:rPr>
          <w:rFonts w:ascii="Calibri" w:cs="Calibri" w:eastAsia="Calibri" w:hAnsi="Calibri"/>
          <w:b/>
          <w:bCs/>
          <w:color w:val="1A1A1A"/>
          <w:sz w:val="21"/>
          <w:szCs w:val="21"/>
        </w:rPr>
        <w:t xml:space="preserve">Si el precio se calculara solo contra la infraestructura</w:t>
      </w:r>
    </w:p>
    <w:p>
      <w:pPr>
        <w:pBdr>
          <w:bottom w:val="single" w:color="FBEAEA" w:sz="2" w:space="8"/>
          <w:left w:val="single" w:color="8A1C1C" w:sz="18" w:space="10"/>
        </w:pBdr>
        <w:shd w:fill="FBEAEA" w:color="auto" w:val="clear"/>
        <w:spacing w:after="180" w:before="0" w:line="270"/>
        <w:ind w:left="150" w:right="150"/>
      </w:pPr>
      <w:r>
        <w:rPr>
          <w:rFonts w:ascii="Calibri" w:cs="Calibri" w:eastAsia="Calibri" w:hAnsi="Calibri"/>
          <w:color w:val="1A1A1A"/>
          <w:sz w:val="21"/>
          <w:szCs w:val="21"/>
        </w:rPr>
        <w:t xml:space="preserve">El costo sería $148.000/mes y el punto de equilibrio caería a siete usuarios. Ese número es cierto y es inútil: no paga una hora de tu tiempo. Fijar precio contra el costo directo es la forma más común de construir un negocio que factura y no deja nada.</w:t>
      </w:r>
    </w:p>
    <w:p>
      <w:pPr>
        <w:pStyle w:val="Heading1"/>
        <w:pBdr>
          <w:bottom w:val="single" w:color="BBD1E8" w:sz="10" w:space="6"/>
        </w:pBdr>
        <w:spacing w:after="170" w:before="380"/>
      </w:pPr>
      <w:r>
        <w:rPr>
          <w:rFonts w:ascii="Calibri" w:cs="Calibri" w:eastAsia="Calibri" w:hAnsi="Calibri"/>
          <w:b/>
          <w:bCs/>
          <w:color w:val="14497E"/>
          <w:sz w:val="30"/>
          <w:szCs w:val="30"/>
        </w:rPr>
        <w:t xml:space="preserve">2 · Punto de equilibrio y sensibilidad</w:t>
      </w:r>
    </w:p>
    <w:p>
      <w:pPr>
        <w:spacing w:after="140" w:before="0" w:line="276"/>
      </w:pPr>
      <w:r>
        <w:rPr>
          <w:rFonts w:ascii="Calibri" w:cs="Calibri" w:eastAsia="Calibri" w:hAnsi="Calibri"/>
          <w:b/>
          <w:bCs/>
          <w:color w:val="1A1A1A"/>
          <w:sz w:val="21"/>
          <w:szCs w:val="21"/>
        </w:rPr>
        <w:t xml:space="preserve">Punto de equilibrio: </w:t>
      </w:r>
      <w:r>
        <w:rPr>
          <w:rFonts w:ascii="Calibri" w:cs="Calibri" w:eastAsia="Calibri" w:hAnsi="Calibri"/>
          <w:color w:val="1A1A1A"/>
          <w:sz w:val="21"/>
          <w:szCs w:val="21"/>
        </w:rPr>
        <w:t xml:space="preserve">75 usuarios activos. </w:t>
      </w:r>
      <w:r>
        <w:rPr>
          <w:rFonts w:ascii="Calibri" w:cs="Calibri" w:eastAsia="Calibri" w:hAnsi="Calibri"/>
          <w:color w:val="1A1A1A"/>
          <w:sz w:val="21"/>
          <w:szCs w:val="21"/>
        </w:rPr>
        <w:t xml:space="preserve">A $42.000 por usuario, 75 usuarios facturan $3.150.000 contra un costo fijo de $3.148.000.</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2200"/>
        <w:gridCol w:w="3200"/>
        <w:gridCol w:w="2000"/>
        <w:gridCol w:w="1960"/>
      </w:tblGrid>
      <w:tr>
        <w:trPr>
          <w:tblHeader/>
        </w:trPr>
        <w:tc>
          <w:tcPr>
            <w:tcW w:type="dxa" w:w="22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Usuarios</w:t>
            </w:r>
          </w:p>
        </w:tc>
        <w:tc>
          <w:tcPr>
            <w:tcW w:type="dxa" w:w="32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Factura mensual</w:t>
            </w:r>
          </w:p>
        </w:tc>
        <w:tc>
          <w:tcPr>
            <w:tcW w:type="dxa" w:w="20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Margen</w:t>
            </w:r>
          </w:p>
        </w:tc>
        <w:tc>
          <w:tcPr>
            <w:tcW w:type="dxa" w:w="196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Lectura</w:t>
            </w:r>
          </w:p>
        </w:tc>
      </w:tr>
      <w:tr>
        <w:tc>
          <w:tcPr>
            <w:tcW w:type="dxa" w:w="22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50</w:t>
            </w:r>
          </w:p>
        </w:tc>
        <w:tc>
          <w:tcPr>
            <w:tcW w:type="dxa" w:w="32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$2.100.000</w:t>
            </w:r>
          </w:p>
        </w:tc>
        <w:tc>
          <w:tcPr>
            <w:tcW w:type="dxa" w:w="20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-49,9 %</w:t>
            </w:r>
          </w:p>
        </w:tc>
        <w:tc>
          <w:tcPr>
            <w:tcW w:type="dxa" w:w="1960"/>
            <w:shd w:fill="FBEAEA"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8A1C1C"/>
                <w:sz w:val="20"/>
                <w:szCs w:val="20"/>
              </w:rPr>
              <w:t xml:space="preserve">Pérdida</w:t>
            </w:r>
          </w:p>
        </w:tc>
      </w:tr>
      <w:tr>
        <w:tc>
          <w:tcPr>
            <w:tcW w:type="dxa" w:w="22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75</w:t>
            </w:r>
          </w:p>
        </w:tc>
        <w:tc>
          <w:tcPr>
            <w:tcW w:type="dxa" w:w="32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$3.150.000</w:t>
            </w:r>
          </w:p>
        </w:tc>
        <w:tc>
          <w:tcPr>
            <w:tcW w:type="dxa" w:w="20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0,1 %</w:t>
            </w:r>
          </w:p>
        </w:tc>
        <w:tc>
          <w:tcPr>
            <w:tcW w:type="dxa" w:w="196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Frágil</w:t>
            </w:r>
          </w:p>
        </w:tc>
      </w:tr>
      <w:tr>
        <w:tc>
          <w:tcPr>
            <w:tcW w:type="dxa" w:w="22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90</w:t>
            </w:r>
          </w:p>
        </w:tc>
        <w:tc>
          <w:tcPr>
            <w:tcW w:type="dxa" w:w="3200"/>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$3.780.000</w:t>
            </w:r>
          </w:p>
        </w:tc>
        <w:tc>
          <w:tcPr>
            <w:tcW w:type="dxa" w:w="2000"/>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16,7 %</w:t>
            </w:r>
          </w:p>
        </w:tc>
        <w:tc>
          <w:tcPr>
            <w:tcW w:type="dxa" w:w="1960"/>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Frágil</w:t>
            </w:r>
          </w:p>
        </w:tc>
      </w:tr>
      <w:tr>
        <w:tc>
          <w:tcPr>
            <w:tcW w:type="dxa" w:w="22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100</w:t>
            </w:r>
          </w:p>
        </w:tc>
        <w:tc>
          <w:tcPr>
            <w:tcW w:type="dxa" w:w="32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$4.200.000</w:t>
            </w:r>
          </w:p>
        </w:tc>
        <w:tc>
          <w:tcPr>
            <w:tcW w:type="dxa" w:w="20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25,1 %</w:t>
            </w:r>
          </w:p>
        </w:tc>
        <w:tc>
          <w:tcPr>
            <w:tcW w:type="dxa" w:w="196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Aceptable</w:t>
            </w:r>
          </w:p>
        </w:tc>
      </w:tr>
      <w:tr>
        <w:tc>
          <w:tcPr>
            <w:tcW w:type="dxa" w:w="22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125</w:t>
            </w:r>
          </w:p>
        </w:tc>
        <w:tc>
          <w:tcPr>
            <w:tcW w:type="dxa" w:w="3200"/>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$5.100.000</w:t>
            </w:r>
          </w:p>
        </w:tc>
        <w:tc>
          <w:tcPr>
            <w:tcW w:type="dxa" w:w="2000"/>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38,3 %</w:t>
            </w:r>
          </w:p>
        </w:tc>
        <w:tc>
          <w:tcPr>
            <w:tcW w:type="dxa" w:w="1960"/>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Aceptable</w:t>
            </w:r>
          </w:p>
        </w:tc>
      </w:tr>
      <w:tr>
        <w:tc>
          <w:tcPr>
            <w:tcW w:type="dxa" w:w="22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150</w:t>
            </w:r>
          </w:p>
        </w:tc>
        <w:tc>
          <w:tcPr>
            <w:tcW w:type="dxa" w:w="3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$6.000.000</w:t>
            </w:r>
          </w:p>
        </w:tc>
        <w:tc>
          <w:tcPr>
            <w:tcW w:type="dxa" w:w="20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47,5 %</w:t>
            </w:r>
          </w:p>
        </w:tc>
        <w:tc>
          <w:tcPr>
            <w:tcW w:type="dxa" w:w="19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0C7A6F"/>
                <w:sz w:val="20"/>
                <w:szCs w:val="20"/>
              </w:rPr>
              <w:t xml:space="preserve">Sano</w:t>
            </w:r>
          </w:p>
        </w:tc>
      </w:tr>
      <w:tr>
        <w:tc>
          <w:tcPr>
            <w:tcW w:type="dxa" w:w="22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180</w:t>
            </w:r>
          </w:p>
        </w:tc>
        <w:tc>
          <w:tcPr>
            <w:tcW w:type="dxa" w:w="3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$7.080.000</w:t>
            </w:r>
          </w:p>
        </w:tc>
        <w:tc>
          <w:tcPr>
            <w:tcW w:type="dxa" w:w="20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55,5 %</w:t>
            </w:r>
          </w:p>
        </w:tc>
        <w:tc>
          <w:tcPr>
            <w:tcW w:type="dxa" w:w="19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0C7A6F"/>
                <w:sz w:val="20"/>
                <w:szCs w:val="20"/>
              </w:rPr>
              <w:t xml:space="preserve">Sano</w:t>
            </w:r>
          </w:p>
        </w:tc>
      </w:tr>
      <w:tr>
        <w:tc>
          <w:tcPr>
            <w:tcW w:type="dxa" w:w="22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200</w:t>
            </w:r>
          </w:p>
        </w:tc>
        <w:tc>
          <w:tcPr>
            <w:tcW w:type="dxa" w:w="3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$7.800.000</w:t>
            </w:r>
          </w:p>
        </w:tc>
        <w:tc>
          <w:tcPr>
            <w:tcW w:type="dxa" w:w="20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59,6 %</w:t>
            </w:r>
          </w:p>
        </w:tc>
        <w:tc>
          <w:tcPr>
            <w:tcW w:type="dxa" w:w="19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0C7A6F"/>
                <w:sz w:val="20"/>
                <w:szCs w:val="20"/>
              </w:rPr>
              <w:t xml:space="preserve">Sano</w:t>
            </w:r>
          </w:p>
        </w:tc>
      </w:tr>
      <w:tr>
        <w:tc>
          <w:tcPr>
            <w:tcW w:type="dxa" w:w="22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250</w:t>
            </w:r>
          </w:p>
        </w:tc>
        <w:tc>
          <w:tcPr>
            <w:tcW w:type="dxa" w:w="3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$9.600.000</w:t>
            </w:r>
          </w:p>
        </w:tc>
        <w:tc>
          <w:tcPr>
            <w:tcW w:type="dxa" w:w="20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67,2 %</w:t>
            </w:r>
          </w:p>
        </w:tc>
        <w:tc>
          <w:tcPr>
            <w:tcW w:type="dxa" w:w="19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0C7A6F"/>
                <w:sz w:val="20"/>
                <w:szCs w:val="20"/>
              </w:rPr>
              <w:t xml:space="preserve">Sano</w:t>
            </w:r>
          </w:p>
        </w:tc>
      </w:tr>
      <w:tr>
        <w:tc>
          <w:tcPr>
            <w:tcW w:type="dxa" w:w="22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300</w:t>
            </w:r>
          </w:p>
        </w:tc>
        <w:tc>
          <w:tcPr>
            <w:tcW w:type="dxa" w:w="3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$11.100.000</w:t>
            </w:r>
          </w:p>
        </w:tc>
        <w:tc>
          <w:tcPr>
            <w:tcW w:type="dxa" w:w="20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71,6 %</w:t>
            </w:r>
          </w:p>
        </w:tc>
        <w:tc>
          <w:tcPr>
            <w:tcW w:type="dxa" w:w="19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0C7A6F"/>
                <w:sz w:val="20"/>
                <w:szCs w:val="20"/>
              </w:rPr>
              <w:t xml:space="preserve">Sano</w:t>
            </w:r>
          </w:p>
        </w:tc>
      </w:tr>
    </w:tbl>
    <w:p>
      <w:pPr>
        <w:spacing w:after="40" w:before="0" w:line="276"/>
      </w:pPr>
      <w:r>
        <w:rPr>
          <w:rFonts w:ascii="Calibri" w:cs="Calibri" w:eastAsia="Calibri" w:hAnsi="Calibri"/>
          <w:color w:val="1A1A1A"/>
          <w:sz w:val="21"/>
          <w:szCs w:val="21"/>
        </w:rPr>
        <w:t xml:space="preserve"> </w:t>
      </w:r>
    </w:p>
    <w:p>
      <w:pPr>
        <w:pBdr>
          <w:top w:val="single" w:color="FBEAEA" w:sz="2" w:space="8"/>
          <w:left w:val="single" w:color="8A1C1C" w:sz="18" w:space="10"/>
        </w:pBdr>
        <w:shd w:fill="FBEAEA" w:color="auto" w:val="clear"/>
        <w:spacing w:after="60" w:before="150" w:line="270"/>
        <w:ind w:left="150" w:right="150"/>
      </w:pPr>
      <w:r>
        <w:rPr>
          <w:rFonts w:ascii="Calibri" w:cs="Calibri" w:eastAsia="Calibri" w:hAnsi="Calibri"/>
          <w:b/>
          <w:bCs/>
          <w:color w:val="1A1A1A"/>
          <w:sz w:val="21"/>
          <w:szCs w:val="21"/>
        </w:rPr>
        <w:t xml:space="preserve">El hallazgo incómodo: una cámara sola no basta.</w:t>
      </w:r>
    </w:p>
    <w:p>
      <w:pPr>
        <w:pBdr>
          <w:left w:val="single" w:color="8A1C1C" w:sz="18" w:space="10"/>
        </w:pBdr>
        <w:shd w:fill="FBEAEA" w:color="auto" w:val="clear"/>
        <w:spacing w:after="60" w:before="0" w:line="270"/>
        <w:ind w:left="150" w:right="150"/>
      </w:pPr>
      <w:r>
        <w:rPr>
          <w:rFonts w:ascii="Calibri" w:cs="Calibri" w:eastAsia="Calibri" w:hAnsi="Calibri"/>
          <w:color w:val="1A1A1A"/>
          <w:sz w:val="21"/>
          <w:szCs w:val="21"/>
        </w:rPr>
        <w:t xml:space="preserve">El contrato tipo de 90 usuarios deja 16,7 % de margen. Cubre los costos y poco más: no financia desarrollo, ni un mes malo, ni tu tiempo comercial para conseguir el siguiente cliente. La operación se vuelve sana alrededor de los 150 usuarios, que en la práctica significa dos cámaras. Conviene firmar la primera sabiendo que la segunda no es opcional.</w:t>
      </w:r>
    </w:p>
    <w:p>
      <w:pPr>
        <w:pBdr>
          <w:bottom w:val="single" w:color="FBEAEA" w:sz="2" w:space="8"/>
          <w:left w:val="single" w:color="8A1C1C" w:sz="18" w:space="10"/>
        </w:pBdr>
        <w:shd w:fill="FBEAEA" w:color="auto" w:val="clear"/>
        <w:spacing w:after="180" w:before="0" w:line="270"/>
        <w:ind w:left="150" w:right="150"/>
      </w:pPr>
      <w:r>
        <w:rPr>
          <w:rFonts w:ascii="Calibri" w:cs="Calibri" w:eastAsia="Calibri" w:hAnsi="Calibri"/>
          <w:color w:val="1A1A1A"/>
          <w:sz w:val="21"/>
          <w:szCs w:val="21"/>
        </w:rPr>
        <w:t xml:space="preserve">Y léase bien la primera fila: el mínimo facturable de 50 usuarios pierde dinero contra el costo asignado completo. Ese piso no existe para que un contrato de ese tamaño sea rentable —no lo es—, sino para impedir contratos todavía peores. Un cliente de 50 usuarios solo tiene sentido acompañado de otro que sí cargue con el costo fijo, o con el overhead asignado repartido entre más líneas de producto.</w:t>
      </w:r>
    </w:p>
    <w:p>
      <w:pPr>
        <w:pStyle w:val="Heading2"/>
        <w:spacing w:after="110" w:before="260"/>
      </w:pPr>
      <w:r>
        <w:rPr>
          <w:rFonts w:ascii="Calibri" w:cs="Calibri" w:eastAsia="Calibri" w:hAnsi="Calibri"/>
          <w:b/>
          <w:bCs/>
          <w:color w:val="1B6AB5"/>
          <w:sz w:val="24"/>
          <w:szCs w:val="24"/>
        </w:rPr>
        <w:t xml:space="preserve">El primer año del contrato tipo</w:t>
      </w:r>
    </w:p>
    <w:p>
      <w:pPr>
        <w:spacing w:after="140" w:before="0" w:line="276"/>
      </w:pPr>
      <w:r>
        <w:rPr>
          <w:rFonts w:ascii="Calibri" w:cs="Calibri" w:eastAsia="Calibri" w:hAnsi="Calibri"/>
          <w:color w:val="1A1A1A"/>
          <w:sz w:val="21"/>
          <w:szCs w:val="21"/>
        </w:rPr>
        <w:t xml:space="preserve">El margen recurrente no cuenta toda la historia: la implementación se cobra una vez y es la que hace tolerable el primer año de una cámara pequeña.</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4680"/>
        <w:gridCol w:w="2340"/>
        <w:gridCol w:w="2340"/>
      </w:tblGrid>
      <w:tr>
        <w:trPr>
          <w:tblHeader/>
        </w:trPr>
        <w:tc>
          <w:tcPr>
            <w:tcW w:type="dxa" w:w="468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Concepto</w:t>
            </w:r>
          </w:p>
        </w:tc>
        <w:tc>
          <w:tcPr>
            <w:tcW w:type="dxa" w:w="234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Valor</w:t>
            </w:r>
          </w:p>
        </w:tc>
        <w:tc>
          <w:tcPr>
            <w:tcW w:type="dxa" w:w="2340"/>
            <w:shd w:fill="14497E"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FFFFFF"/>
                <w:sz w:val="20"/>
                <w:szCs w:val="20"/>
              </w:rPr>
              <w:t xml:space="preserve">Naturaleza</w:t>
            </w:r>
          </w:p>
        </w:tc>
      </w:tr>
      <w:tr>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Implementación · 20 talleres</w:t>
            </w:r>
          </w:p>
        </w:tc>
        <w:tc>
          <w:tcPr>
            <w:tcW w:type="dxa" w:w="234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$7.000.000</w:t>
            </w:r>
          </w:p>
        </w:tc>
        <w:tc>
          <w:tcPr>
            <w:tcW w:type="dxa" w:w="2340"/>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Única vez</w:t>
            </w:r>
          </w:p>
        </w:tc>
      </w:tr>
      <w:tr>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Suscripción · 90 usuarios × 12 meses</w:t>
            </w:r>
          </w:p>
        </w:tc>
        <w:tc>
          <w:tcPr>
            <w:tcW w:type="dxa" w:w="234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$45.360.000</w:t>
            </w:r>
          </w:p>
        </w:tc>
        <w:tc>
          <w:tcPr>
            <w:tcW w:type="dxa" w:w="234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Recurrente</w:t>
            </w:r>
          </w:p>
        </w:tc>
      </w:tr>
      <w:tr>
        <w:tc>
          <w:tcPr>
            <w:tcW w:type="dxa" w:w="468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Ingreso año 1, antes de IVA</w:t>
            </w:r>
          </w:p>
        </w:tc>
        <w:tc>
          <w:tcPr>
            <w:tcW w:type="dxa" w:w="234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$52.360.000</w:t>
            </w:r>
          </w:p>
        </w:tc>
        <w:tc>
          <w:tcPr>
            <w:tcW w:type="dxa" w:w="2340"/>
            <w:shd w:fill="E9F0F8"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w:t>
            </w:r>
          </w:p>
        </w:tc>
      </w:tr>
      <w:tr>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Costo fijo del año</w:t>
            </w:r>
          </w:p>
        </w:tc>
        <w:tc>
          <w:tcPr>
            <w:tcW w:type="dxa" w:w="234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$37.776.000</w:t>
            </w:r>
          </w:p>
        </w:tc>
        <w:tc>
          <w:tcPr>
            <w:tcW w:type="dxa" w:w="234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w:t>
            </w:r>
          </w:p>
        </w:tc>
      </w:tr>
      <w:tr>
        <w:tc>
          <w:tcPr>
            <w:tcW w:type="dxa" w:w="468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Resultado año 1</w:t>
            </w:r>
          </w:p>
        </w:tc>
        <w:tc>
          <w:tcPr>
            <w:tcW w:type="dxa" w:w="234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$14.584.000</w:t>
            </w:r>
          </w:p>
        </w:tc>
        <w:tc>
          <w:tcPr>
            <w:tcW w:type="dxa" w:w="234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1A1A1A"/>
                <w:sz w:val="20"/>
                <w:szCs w:val="20"/>
              </w:rPr>
              <w:t xml:space="preserve">27,9 %</w:t>
            </w:r>
          </w:p>
        </w:tc>
      </w:tr>
    </w:tbl>
    <w:p>
      <w:pPr>
        <w:spacing w:after="140" w:before="120" w:line="276"/>
      </w:pPr>
      <w:r>
        <w:rPr>
          <w:rFonts w:ascii="Calibri" w:cs="Calibri" w:eastAsia="Calibri" w:hAnsi="Calibri"/>
          <w:b/>
          <w:bCs/>
          <w:color w:val="1A1A1A"/>
          <w:sz w:val="21"/>
          <w:szCs w:val="21"/>
        </w:rPr>
        <w:t xml:space="preserve">Ojo con la trampa de este cuadro: </w:t>
      </w:r>
      <w:r>
        <w:rPr>
          <w:rFonts w:ascii="Calibri" w:cs="Calibri" w:eastAsia="Calibri" w:hAnsi="Calibri"/>
          <w:color w:val="1A1A1A"/>
          <w:sz w:val="21"/>
          <w:szCs w:val="21"/>
        </w:rPr>
        <w:t xml:space="preserve">el primer año se ve bien porque la implementación lo sostiene. El segundo año desaparece ese ingreso y la misma cámara cae al 16,7 % de margen de la tabla anterior. La cifra que hay que mirar para decidir si el negocio existe es la del año dos, no la del año uno.</w:t>
      </w:r>
    </w:p>
    <w:p>
      <w:pPr>
        <w:pStyle w:val="Heading2"/>
        <w:spacing w:after="110" w:before="260"/>
      </w:pPr>
      <w:r>
        <w:rPr>
          <w:rFonts w:ascii="Calibri" w:cs="Calibri" w:eastAsia="Calibri" w:hAnsi="Calibri"/>
          <w:b/>
          <w:bCs/>
          <w:color w:val="1B6AB5"/>
          <w:sz w:val="24"/>
          <w:szCs w:val="24"/>
        </w:rPr>
        <w:t xml:space="preserve">Cuando el presupuesto de la cámara manda</w:t>
      </w:r>
    </w:p>
    <w:p>
      <w:pPr>
        <w:spacing w:after="140" w:before="0" w:line="276"/>
      </w:pPr>
      <w:r>
        <w:rPr>
          <w:rFonts w:ascii="Calibri" w:cs="Calibri" w:eastAsia="Calibri" w:hAnsi="Calibri"/>
          <w:color w:val="1A1A1A"/>
          <w:sz w:val="21"/>
          <w:szCs w:val="21"/>
        </w:rPr>
        <w:t xml:space="preserve">A veces la cámara no negocia sobre la lista de precios: llega con una partida ya aprobada y pregunta si alcanza. Este cuadro responde esa conversación para una cohorte de 200 usuarios, midiendo contra las dos bases de costo, porque las dos son ciertas y dicen cosas opuestas.</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2100"/>
        <w:gridCol w:w="1700"/>
        <w:gridCol w:w="2200"/>
        <w:gridCol w:w="1700"/>
        <w:gridCol w:w="1660"/>
      </w:tblGrid>
      <w:tr>
        <w:trPr>
          <w:tblHeader/>
        </w:trPr>
        <w:tc>
          <w:tcPr>
            <w:tcW w:type="dxa" w:w="21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Por usuario/año</w:t>
            </w:r>
          </w:p>
        </w:tc>
        <w:tc>
          <w:tcPr>
            <w:tcW w:type="dxa" w:w="17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En USD</w:t>
            </w:r>
          </w:p>
        </w:tc>
        <w:tc>
          <w:tcPr>
            <w:tcW w:type="dxa" w:w="22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Contrato</w:t>
            </w:r>
          </w:p>
        </w:tc>
        <w:tc>
          <w:tcPr>
            <w:tcW w:type="dxa" w:w="17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vs mantenim.</w:t>
            </w:r>
          </w:p>
        </w:tc>
        <w:tc>
          <w:tcPr>
            <w:tcW w:type="dxa" w:w="1660"/>
            <w:shd w:fill="14497E"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FFFFFF"/>
                <w:sz w:val="20"/>
                <w:szCs w:val="20"/>
              </w:rPr>
              <w:t xml:space="preserve">Contratos</w:t>
            </w:r>
          </w:p>
        </w:tc>
      </w:tr>
      <w:tr>
        <w:tc>
          <w:tcPr>
            <w:tcW w:type="dxa" w:w="21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color w:val="1A1A1A"/>
                <w:sz w:val="20"/>
                <w:szCs w:val="20"/>
              </w:rPr>
              <w:t xml:space="preserve">$80.000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USD 25,00</w:t>
            </w:r>
          </w:p>
        </w:tc>
        <w:tc>
          <w:tcPr>
            <w:tcW w:type="dxa" w:w="22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$16.000.000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$6.911.500 (43,2 %)</w:t>
            </w:r>
          </w:p>
        </w:tc>
        <w:tc>
          <w:tcPr>
            <w:tcW w:type="dxa" w:w="1660"/>
            <w:shd w:fill="FBEAEA"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8A1C1C"/>
                <w:sz w:val="20"/>
                <w:szCs w:val="20"/>
              </w:rPr>
              <w:t xml:space="preserve">3</w:t>
            </w:r>
          </w:p>
        </w:tc>
      </w:tr>
      <w:tr>
        <w:tc>
          <w:tcPr>
            <w:tcW w:type="dxa" w:w="21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color w:val="1A1A1A"/>
                <w:sz w:val="20"/>
                <w:szCs w:val="20"/>
              </w:rPr>
              <w:t xml:space="preserve">$85.000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USD 26,56</w:t>
            </w:r>
          </w:p>
        </w:tc>
        <w:tc>
          <w:tcPr>
            <w:tcW w:type="dxa" w:w="22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$17.000.000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$7.911.500 (46,5 %)</w:t>
            </w:r>
          </w:p>
        </w:tc>
        <w:tc>
          <w:tcPr>
            <w:tcW w:type="dxa" w:w="1660"/>
            <w:shd w:fill="FBEAEA"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8A1C1C"/>
                <w:sz w:val="20"/>
                <w:szCs w:val="20"/>
              </w:rPr>
              <w:t xml:space="preserve">3</w:t>
            </w:r>
          </w:p>
        </w:tc>
      </w:tr>
      <w:tr>
        <w:tc>
          <w:tcPr>
            <w:tcW w:type="dxa" w:w="21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b w:val="false"/>
                <w:bCs w:val="false"/>
                <w:color w:val="1A1A1A"/>
                <w:sz w:val="20"/>
                <w:szCs w:val="20"/>
              </w:rPr>
              <w:t xml:space="preserve">$100.000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USD 31,25</w:t>
            </w:r>
          </w:p>
        </w:tc>
        <w:tc>
          <w:tcPr>
            <w:tcW w:type="dxa" w:w="22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$20.000.000</w:t>
            </w:r>
          </w:p>
        </w:tc>
        <w:tc>
          <w:tcPr>
            <w:tcW w:type="dxa" w:w="1700"/>
            <w:shd w:fill="FBEAEA"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$10.911.500 (54,6 %)</w:t>
            </w:r>
          </w:p>
        </w:tc>
        <w:tc>
          <w:tcPr>
            <w:tcW w:type="dxa" w:w="1660"/>
            <w:shd w:fill="FBEAEA"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8A1C1C"/>
                <w:sz w:val="20"/>
                <w:szCs w:val="20"/>
              </w:rPr>
              <w:t xml:space="preserve">2</w:t>
            </w:r>
          </w:p>
        </w:tc>
      </w:tr>
      <w:tr>
        <w:tc>
          <w:tcPr>
            <w:tcW w:type="dxa" w:w="210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$188.880</w:t>
            </w:r>
          </w:p>
        </w:tc>
        <w:tc>
          <w:tcPr>
            <w:tcW w:type="dxa" w:w="17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USD 59,02</w:t>
            </w:r>
          </w:p>
        </w:tc>
        <w:tc>
          <w:tcPr>
            <w:tcW w:type="dxa" w:w="22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$37.776.000</w:t>
            </w:r>
          </w:p>
        </w:tc>
        <w:tc>
          <w:tcPr>
            <w:tcW w:type="dxa" w:w="170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$28.687.500 (75,9 %)</w:t>
            </w:r>
          </w:p>
        </w:tc>
        <w:tc>
          <w:tcPr>
            <w:tcW w:type="dxa" w:w="1660"/>
            <w:shd w:fill="E4F6F3"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0C7A6F"/>
                <w:sz w:val="20"/>
                <w:szCs w:val="20"/>
              </w:rPr>
              <w:t xml:space="preserve">1</w:t>
            </w:r>
          </w:p>
        </w:tc>
      </w:tr>
    </w:tbl>
    <w:p>
      <w:pPr>
        <w:spacing w:after="140" w:before="120" w:line="276"/>
      </w:pPr>
      <w:r>
        <w:rPr>
          <w:rFonts w:ascii="Calibri" w:cs="Calibri" w:eastAsia="Calibri" w:hAnsi="Calibri"/>
          <w:b/>
          <w:bCs/>
          <w:color w:val="1A1A1A"/>
          <w:sz w:val="21"/>
          <w:szCs w:val="21"/>
        </w:rPr>
        <w:t xml:space="preserve">La última columna es la que decide: cuántos contratos de ese tamaño hacen falta para cubrir el costo asignado del año. A </w:t>
      </w:r>
      <w:r>
        <w:rPr>
          <w:rFonts w:ascii="Calibri" w:cs="Calibri" w:eastAsia="Calibri" w:hAnsi="Calibri"/>
          <w:color w:val="1A1A1A"/>
          <w:sz w:val="21"/>
          <w:szCs w:val="21"/>
        </w:rPr>
        <w:t xml:space="preserve">$188.880 por usuario/año una sola cohorte de 200 se sostiene sola. Por debajo, el negocio depende de conseguir los otros dos clientes.</w:t>
      </w:r>
    </w:p>
    <w:p>
      <w:pPr>
        <w:pBdr>
          <w:top w:val="single" w:color="E9F0F8" w:sz="2" w:space="8"/>
          <w:left w:val="single" w:color="14497E" w:sz="18" w:space="10"/>
        </w:pBdr>
        <w:shd w:fill="E9F0F8" w:color="auto" w:val="clear"/>
        <w:spacing w:after="60" w:before="150" w:line="270"/>
        <w:ind w:left="150" w:right="150"/>
      </w:pPr>
      <w:r>
        <w:rPr>
          <w:rFonts w:ascii="Calibri" w:cs="Calibri" w:eastAsia="Calibri" w:hAnsi="Calibri"/>
          <w:b/>
          <w:bCs/>
          <w:color w:val="1A1A1A"/>
          <w:sz w:val="21"/>
          <w:szCs w:val="21"/>
        </w:rPr>
        <w:t xml:space="preserve">Referencia externa</w:t>
      </w:r>
    </w:p>
    <w:p>
      <w:pPr>
        <w:pBdr>
          <w:bottom w:val="single" w:color="E9F0F8" w:sz="2" w:space="8"/>
          <w:left w:val="single" w:color="14497E" w:sz="18" w:space="10"/>
        </w:pBdr>
        <w:shd w:fill="E9F0F8" w:color="auto" w:val="clear"/>
        <w:spacing w:after="180" w:before="0" w:line="270"/>
        <w:ind w:left="150" w:right="150"/>
      </w:pPr>
      <w:r>
        <w:rPr>
          <w:rFonts w:ascii="Calibri" w:cs="Calibri" w:eastAsia="Calibri" w:hAnsi="Calibri"/>
          <w:color w:val="1A1A1A"/>
          <w:sz w:val="21"/>
          <w:szCs w:val="21"/>
        </w:rPr>
        <w:t xml:space="preserve">Plataformas comparables de formación empresarial cobran entre USD 240 y 600 por usuario al año (sabionet.com/mejores-plataformas-lms, consultado en septiembre de 2026). A USD 25–31, un contrato de $80.000–$100.000 anuales está entre nueve y veinticuatro veces por debajo de esa banda. No es un precio competitivo: es otra categoría de producto.</w:t>
      </w:r>
    </w:p>
    <w:p>
      <w:pPr>
        <w:pStyle w:val="Heading2"/>
        <w:spacing w:after="110" w:before="260"/>
      </w:pPr>
      <w:r>
        <w:rPr>
          <w:rFonts w:ascii="Calibri" w:cs="Calibri" w:eastAsia="Calibri" w:hAnsi="Calibri"/>
          <w:b/>
          <w:bCs/>
          <w:color w:val="1B6AB5"/>
          <w:sz w:val="24"/>
          <w:szCs w:val="24"/>
        </w:rPr>
        <w:t xml:space="preserve">Las tres condiciones que harían viable un precio bajo</w:t>
      </w:r>
    </w:p>
    <w:p>
      <w:pPr>
        <w:spacing w:after="140" w:before="0" w:line="276"/>
      </w:pPr>
      <w:r>
        <w:rPr>
          <w:rFonts w:ascii="Calibri" w:cs="Calibri" w:eastAsia="Calibri" w:hAnsi="Calibri"/>
          <w:color w:val="1A1A1A"/>
          <w:sz w:val="21"/>
          <w:szCs w:val="21"/>
        </w:rPr>
        <w:t xml:space="preserve">Un precio de entrada bajo puede ser una decisión correcta. Deja de serlo cuando es el resultado de no haberse atrevido a pedir más. Si se toma, se toma con las tres condiciones:</w:t>
      </w:r>
    </w:p>
    <w:p>
      <w:pPr>
        <w:pStyle w:val="ListParagraph"/>
        <w:numPr>
          <w:ilvl w:val="0"/>
          <w:numId w:val="3"/>
        </w:numPr>
        <w:spacing w:after="90" w:line="264"/>
      </w:pPr>
      <w:r>
        <w:rPr>
          <w:rFonts w:ascii="Calibri" w:cs="Calibri" w:eastAsia="Calibri" w:hAnsi="Calibri"/>
          <w:b/>
          <w:bCs/>
          <w:color w:val="1A1A1A"/>
          <w:sz w:val="21"/>
          <w:szCs w:val="21"/>
        </w:rPr>
        <w:t xml:space="preserve">Por cohorte, no por año. </w:t>
      </w:r>
      <w:r>
        <w:rPr>
          <w:rFonts w:ascii="Calibri" w:cs="Calibri" w:eastAsia="Calibri" w:hAnsi="Calibri"/>
          <w:color w:val="1A1A1A"/>
          <w:sz w:val="21"/>
          <w:szCs w:val="21"/>
        </w:rPr>
        <w:t xml:space="preserve">Una cámara que corre dos o tres cohortes anuales convierte el mismo presupuesto en dos o tres veces el contrato, y así presupuestan sus programas de todos modos.</w:t>
      </w:r>
    </w:p>
    <w:p>
      <w:pPr>
        <w:pStyle w:val="ListParagraph"/>
        <w:numPr>
          <w:ilvl w:val="0"/>
          <w:numId w:val="3"/>
        </w:numPr>
        <w:spacing w:after="90" w:line="264"/>
      </w:pPr>
      <w:r>
        <w:rPr>
          <w:rFonts w:ascii="Calibri" w:cs="Calibri" w:eastAsia="Calibri" w:hAnsi="Calibri"/>
          <w:b/>
          <w:bCs/>
          <w:color w:val="1A1A1A"/>
          <w:sz w:val="21"/>
          <w:szCs w:val="21"/>
        </w:rPr>
        <w:t xml:space="preserve">El editor de contenido, antes del segundo cliente. </w:t>
      </w:r>
      <w:r>
        <w:rPr>
          <w:rFonts w:ascii="Calibri" w:cs="Calibri" w:eastAsia="Calibri" w:hAnsi="Calibri"/>
          <w:color w:val="1A1A1A"/>
          <w:sz w:val="21"/>
          <w:szCs w:val="21"/>
        </w:rPr>
        <w:t xml:space="preserve">A este precio no se puede regalar una implementación de 40 a 150 horas; la cámara tiene que poder cargar su propio programa.</w:t>
      </w:r>
    </w:p>
    <w:p>
      <w:pPr>
        <w:pStyle w:val="ListParagraph"/>
        <w:numPr>
          <w:ilvl w:val="0"/>
          <w:numId w:val="3"/>
        </w:numPr>
        <w:spacing w:after="90" w:line="264"/>
      </w:pPr>
      <w:r>
        <w:rPr>
          <w:rFonts w:ascii="Calibri" w:cs="Calibri" w:eastAsia="Calibri" w:hAnsi="Calibri"/>
          <w:b/>
          <w:bCs/>
          <w:color w:val="1A1A1A"/>
          <w:sz w:val="21"/>
          <w:szCs w:val="21"/>
        </w:rPr>
        <w:t xml:space="preserve">Decisión deliberada de entrada. </w:t>
      </w:r>
      <w:r>
        <w:rPr>
          <w:rFonts w:ascii="Calibri" w:cs="Calibri" w:eastAsia="Calibri" w:hAnsi="Calibri"/>
          <w:color w:val="1A1A1A"/>
          <w:sz w:val="21"/>
          <w:szCs w:val="21"/>
        </w:rPr>
        <w:t xml:space="preserve">A cambio de algo que valga: caso de referencia con permiso escrito para nombrarla ante otras cámaras, carta de recomendación, o el compromiso de una segunda cohorte.</w:t>
      </w:r>
    </w:p>
    <w:p>
      <w:pPr>
        <w:pBdr>
          <w:top w:val="single" w:color="FBEAEA" w:sz="2" w:space="8"/>
          <w:left w:val="single" w:color="8A1C1C" w:sz="18" w:space="10"/>
        </w:pBdr>
        <w:shd w:fill="FBEAEA" w:color="auto" w:val="clear"/>
        <w:spacing w:after="60" w:before="150" w:line="270"/>
        <w:ind w:left="150" w:right="150"/>
      </w:pPr>
      <w:r>
        <w:rPr>
          <w:rFonts w:ascii="Calibri" w:cs="Calibri" w:eastAsia="Calibri" w:hAnsi="Calibri"/>
          <w:b/>
          <w:bCs/>
          <w:color w:val="8A1C1C"/>
          <w:sz w:val="21"/>
          <w:szCs w:val="21"/>
        </w:rPr>
        <w:t xml:space="preserve">Lo que cuesta de verdad un precio de entrada bajo</w:t>
      </w:r>
    </w:p>
    <w:p>
      <w:pPr>
        <w:pBdr>
          <w:bottom w:val="single" w:color="FBEAEA" w:sz="2" w:space="8"/>
          <w:left w:val="single" w:color="8A1C1C" w:sz="18" w:space="10"/>
        </w:pBdr>
        <w:shd w:fill="FBEAEA" w:color="auto" w:val="clear"/>
        <w:spacing w:after="180" w:before="0" w:line="270"/>
        <w:ind w:left="150" w:right="150"/>
      </w:pPr>
      <w:r>
        <w:rPr>
          <w:rFonts w:ascii="Calibri" w:cs="Calibri" w:eastAsia="Calibri" w:hAnsi="Calibri"/>
          <w:color w:val="1A1A1A"/>
          <w:sz w:val="21"/>
          <w:szCs w:val="21"/>
        </w:rPr>
        <w:t xml:space="preserve">El precio unitario fija el techo de todas las renovaciones. De $85.000 no se sube a $190.000 en el año dos: se sube a $95.000, con suerte. Bajar el precio una vez es una concesión que se paga cada año mientras dure la relación; regalar meses de gracia o talleres de implementación se paga una sola vez.</w:t>
      </w:r>
    </w:p>
    <w:p>
      <w:pPr>
        <w:pStyle w:val="Heading2"/>
        <w:spacing w:after="110" w:before="260"/>
      </w:pPr>
      <w:r>
        <w:rPr>
          <w:rFonts w:ascii="Calibri" w:cs="Calibri" w:eastAsia="Calibri" w:hAnsi="Calibri"/>
          <w:b/>
          <w:bCs/>
          <w:color w:val="1B6AB5"/>
          <w:sz w:val="24"/>
          <w:szCs w:val="24"/>
        </w:rPr>
        <w:t xml:space="preserve">Vender ancho, no profundo</w:t>
      </w:r>
    </w:p>
    <w:p>
      <w:pPr>
        <w:spacing w:after="140" w:before="0" w:line="276"/>
      </w:pPr>
      <w:r>
        <w:rPr>
          <w:rFonts w:ascii="Calibri" w:cs="Calibri" w:eastAsia="Calibri" w:hAnsi="Calibri"/>
          <w:color w:val="1A1A1A"/>
          <w:sz w:val="21"/>
          <w:szCs w:val="21"/>
        </w:rPr>
        <w:t xml:space="preserve">Los escalones aplican por contrato, no sobre el total agregado de la empresa. Dos contratos de 90 usuarios facturan más que uno de 180, porque ninguno de los dos cruza al segundo escalón:</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4680"/>
        <w:gridCol w:w="2340"/>
        <w:gridCol w:w="2340"/>
      </w:tblGrid>
      <w:tr>
        <w:trPr>
          <w:tblHeader/>
        </w:trPr>
        <w:tc>
          <w:tcPr>
            <w:tcW w:type="dxa" w:w="468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Escenario</w:t>
            </w:r>
          </w:p>
        </w:tc>
        <w:tc>
          <w:tcPr>
            <w:tcW w:type="dxa" w:w="234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Factura mensual</w:t>
            </w:r>
          </w:p>
        </w:tc>
        <w:tc>
          <w:tcPr>
            <w:tcW w:type="dxa" w:w="234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Margen</w:t>
            </w:r>
          </w:p>
        </w:tc>
      </w:tr>
      <w:tr>
        <w:tc>
          <w:tcPr>
            <w:tcW w:type="dxa" w:w="4680"/>
            <w:shd w:fill="E4F6F3"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Dos cámaras de 90 usuarios</w:t>
            </w:r>
          </w:p>
        </w:tc>
        <w:tc>
          <w:tcPr>
            <w:tcW w:type="dxa" w:w="234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$7.560.000</w:t>
            </w:r>
          </w:p>
        </w:tc>
        <w:tc>
          <w:tcPr>
            <w:tcW w:type="dxa" w:w="2340"/>
            <w:shd w:fill="E4F6F3" w:color="auto" w:val="clear"/>
            <w:tcMar>
              <w:top w:type="dxa" w:w="90"/>
              <w:left w:type="dxa" w:w="130"/>
              <w:bottom w:type="dxa" w:w="90"/>
              <w:right w:type="dxa" w:w="130"/>
            </w:tcMar>
            <w:vAlign w:val="center"/>
          </w:tcPr>
          <w:p>
            <w:pPr>
              <w:spacing w:after="0" w:line="252"/>
              <w:jc w:val="right"/>
            </w:pPr>
            <w:r>
              <w:rPr>
                <w:rFonts w:ascii="Calibri" w:cs="Calibri" w:eastAsia="Calibri" w:hAnsi="Calibri"/>
                <w:color w:val="1A1A1A"/>
                <w:sz w:val="20"/>
                <w:szCs w:val="20"/>
              </w:rPr>
              <w:t xml:space="preserve">58,4 %</w:t>
            </w:r>
          </w:p>
        </w:tc>
      </w:tr>
      <w:tr>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Una cámara de 180 usuarios</w:t>
            </w:r>
          </w:p>
        </w:tc>
        <w:tc>
          <w:tcPr>
            <w:tcW w:type="dxa" w:w="234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$7.080.000</w:t>
            </w:r>
          </w:p>
        </w:tc>
        <w:tc>
          <w:tcPr>
            <w:tcW w:type="dxa" w:w="234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55,5 %</w:t>
            </w:r>
          </w:p>
        </w:tc>
      </w:tr>
    </w:tbl>
    <w:p>
      <w:pPr>
        <w:spacing w:after="140" w:before="120" w:line="276"/>
      </w:pPr>
      <w:r>
        <w:rPr>
          <w:rFonts w:ascii="Calibri" w:cs="Calibri" w:eastAsia="Calibri" w:hAnsi="Calibri"/>
          <w:b/>
          <w:bCs/>
          <w:color w:val="1A1A1A"/>
          <w:sz w:val="21"/>
          <w:szCs w:val="21"/>
        </w:rPr>
        <w:t xml:space="preserve">Consecuencia comercial: la prioridad es el número de cámaras firmadas, no el tamaño de cada cohorte. Un segundo cliente pequeño vale más que ampliar el primero.</w:t>
      </w:r>
    </w:p>
    <w:p>
      <w:pPr>
        <w:pStyle w:val="Heading1"/>
        <w:pBdr>
          <w:bottom w:val="single" w:color="BBD1E8" w:sz="10" w:space="6"/>
        </w:pBdr>
        <w:spacing w:after="170" w:before="380"/>
      </w:pPr>
      <w:r>
        <w:rPr>
          <w:rFonts w:ascii="Calibri" w:cs="Calibri" w:eastAsia="Calibri" w:hAnsi="Calibri"/>
          <w:b/>
          <w:bCs/>
          <w:color w:val="14497E"/>
          <w:sz w:val="30"/>
          <w:szCs w:val="30"/>
        </w:rPr>
        <w:t xml:space="preserve">3 · De la factura a la caja</w:t>
      </w:r>
    </w:p>
    <w:p>
      <w:pPr>
        <w:spacing w:after="140" w:before="0" w:line="276"/>
      </w:pPr>
      <w:r>
        <w:rPr>
          <w:rFonts w:ascii="Calibri" w:cs="Calibri" w:eastAsia="Calibri" w:hAnsi="Calibri"/>
          <w:color w:val="1A1A1A"/>
          <w:sz w:val="21"/>
          <w:szCs w:val="21"/>
        </w:rPr>
        <w:t xml:space="preserve">El margen de la tabla anterior es contable. Lo que efectivamente entra a la cuenta es menos, y conviene tenerlo presente antes de comprometer gastos.</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2900"/>
        <w:gridCol w:w="1900"/>
        <w:gridCol w:w="4560"/>
      </w:tblGrid>
      <w:tr>
        <w:trPr>
          <w:tblHeader/>
        </w:trPr>
        <w:tc>
          <w:tcPr>
            <w:tcW w:type="dxa" w:w="29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Concepto</w:t>
            </w:r>
          </w:p>
        </w:tc>
        <w:tc>
          <w:tcPr>
            <w:tcW w:type="dxa" w:w="19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Tarifa</w:t>
            </w:r>
          </w:p>
        </w:tc>
        <w:tc>
          <w:tcPr>
            <w:tcW w:type="dxa" w:w="45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Efecto</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IVA</w:t>
            </w:r>
          </w:p>
        </w:tc>
        <w:tc>
          <w:tcPr>
            <w:tcW w:type="dxa" w:w="19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19 %</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Se cobra al cliente y se transfiere a la DIAN. No es ingreso: es dinero ajeno que pasa por la cuenta.</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Retención en la fuente</w:t>
            </w:r>
          </w:p>
        </w:tc>
        <w:tc>
          <w:tcPr>
            <w:tcW w:type="dxa" w:w="19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4 %</w:t>
            </w:r>
          </w:p>
        </w:tc>
        <w:tc>
          <w:tcPr>
            <w:tcW w:type="dxa" w:w="4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La cámara la practica sobre el valor del servicio y la descuenta de cada pago. Se recupera al declarar renta, pero entre tanto es caja que no está.</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ICA Medellín</w:t>
            </w:r>
          </w:p>
        </w:tc>
        <w:tc>
          <w:tcPr>
            <w:tcW w:type="dxa" w:w="19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1 %</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Sobre ingresos brutos, CIIU 6201. Autorretención del 100 % de la tarifa.</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4x1000</w:t>
            </w:r>
          </w:p>
        </w:tc>
        <w:tc>
          <w:tcPr>
            <w:tcW w:type="dxa" w:w="19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0,4 %</w:t>
            </w:r>
          </w:p>
        </w:tc>
        <w:tc>
          <w:tcPr>
            <w:tcW w:type="dxa" w:w="4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Por retiro. Exento hasta 350 UVT al mes en una cuenta marcada: vale la pena marcarla.</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Renta</w:t>
            </w:r>
          </w:p>
        </w:tc>
        <w:tc>
          <w:tcPr>
            <w:tcW w:type="dxa" w:w="19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35 %</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Sobre la utilidad. Evaluar el Régimen Simple con el contador antes de la primera declaración.</w:t>
            </w:r>
          </w:p>
        </w:tc>
      </w:tr>
    </w:tbl>
    <w:p>
      <w:pPr>
        <w:spacing w:after="40" w:before="0" w:line="276"/>
      </w:pPr>
      <w:r>
        <w:rPr>
          <w:rFonts w:ascii="Calibri" w:cs="Calibri" w:eastAsia="Calibri" w:hAnsi="Calibri"/>
          <w:color w:val="1A1A1A"/>
          <w:sz w:val="21"/>
          <w:szCs w:val="21"/>
        </w:rPr>
        <w:t xml:space="preserve"> </w:t>
      </w:r>
    </w:p>
    <w:p>
      <w:pPr>
        <w:spacing w:after="140" w:before="0" w:line="276"/>
      </w:pPr>
      <w:r>
        <w:rPr>
          <w:rFonts w:ascii="Calibri" w:cs="Calibri" w:eastAsia="Calibri" w:hAnsi="Calibri"/>
          <w:b/>
          <w:bCs/>
          <w:color w:val="1A1A1A"/>
          <w:sz w:val="21"/>
          <w:szCs w:val="21"/>
        </w:rPr>
        <w:t xml:space="preserve">Regla práctica: </w:t>
      </w:r>
      <w:r>
        <w:rPr>
          <w:rFonts w:ascii="Calibri" w:cs="Calibri" w:eastAsia="Calibri" w:hAnsi="Calibri"/>
          <w:color w:val="1A1A1A"/>
          <w:sz w:val="21"/>
          <w:szCs w:val="21"/>
        </w:rPr>
        <w:t xml:space="preserve">del valor facturado antes de IVA, cuente con disponer de alrededor del 95 % en el corto plazo (retención y ICA), y del 65 % después de renta sobre la utilidad.</w:t>
      </w:r>
    </w:p>
    <w:p>
      <w:pPr>
        <w:pStyle w:val="Heading1"/>
        <w:pBdr>
          <w:bottom w:val="single" w:color="BBD1E8" w:sz="10" w:space="6"/>
        </w:pBdr>
        <w:spacing w:after="170" w:before="380"/>
      </w:pPr>
      <w:r>
        <w:rPr>
          <w:rFonts w:ascii="Calibri" w:cs="Calibri" w:eastAsia="Calibri" w:hAnsi="Calibri"/>
          <w:b/>
          <w:bCs/>
          <w:color w:val="14497E"/>
          <w:sz w:val="30"/>
          <w:szCs w:val="30"/>
        </w:rPr>
        <w:t xml:space="preserve">4 · Guardarraíles de negociación</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3400"/>
        <w:gridCol w:w="5960"/>
      </w:tblGrid>
      <w:tr>
        <w:trPr>
          <w:tblHeader/>
        </w:trPr>
        <w:tc>
          <w:tcPr>
            <w:tcW w:type="dxa" w:w="34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Variable</w:t>
            </w:r>
          </w:p>
        </w:tc>
        <w:tc>
          <w:tcPr>
            <w:tcW w:type="dxa" w:w="59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Límite</w:t>
            </w:r>
          </w:p>
        </w:tc>
      </w:tr>
      <w:tr>
        <w:tc>
          <w:tcPr>
            <w:tcW w:type="dxa" w:w="34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Precio de entrada</w:t>
            </w:r>
          </w:p>
        </w:tc>
        <w:tc>
          <w:tcPr>
            <w:tcW w:type="dxa" w:w="59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$42.000 por usuario/mes. Es el punto de partida de toda conversación.</w:t>
            </w:r>
          </w:p>
        </w:tc>
      </w:tr>
      <w:tr>
        <w:tc>
          <w:tcPr>
            <w:tcW w:type="dxa" w:w="34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Precio piso absoluto</w:t>
            </w:r>
          </w:p>
        </w:tc>
        <w:tc>
          <w:tcPr>
            <w:tcW w:type="dxa" w:w="596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$25.000 por usuario/mes. Por debajo de este número el producto no financia su propio desarrollo. No es una postura de negociación: es el límite.</w:t>
            </w:r>
          </w:p>
        </w:tc>
      </w:tr>
      <w:tr>
        <w:tc>
          <w:tcPr>
            <w:tcW w:type="dxa" w:w="34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Mínimo facturable</w:t>
            </w:r>
          </w:p>
        </w:tc>
        <w:tc>
          <w:tcPr>
            <w:tcW w:type="dxa" w:w="59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50 usuarios. No es negociable: un contrato de 20 usuarios no cubre ni la mitad del costo fijo.</w:t>
            </w:r>
          </w:p>
        </w:tc>
      </w:tr>
      <w:tr>
        <w:tc>
          <w:tcPr>
            <w:tcW w:type="dxa" w:w="34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Implementación</w:t>
            </w:r>
          </w:p>
        </w:tc>
        <w:tc>
          <w:tcPr>
            <w:tcW w:type="dxa" w:w="59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$350.000 por taller. Es trabajo real de conversión de contenido; regalarla equivale a trabajar gratis dos semanas.</w:t>
            </w:r>
          </w:p>
        </w:tc>
      </w:tr>
    </w:tbl>
    <w:p>
      <w:pPr>
        <w:spacing w:after="4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Qué ceder antes que bajar el precio unitario</w:t>
      </w:r>
    </w:p>
    <w:p>
      <w:pPr>
        <w:spacing w:after="140" w:before="0" w:line="276"/>
      </w:pPr>
      <w:r>
        <w:rPr>
          <w:rFonts w:ascii="Calibri" w:cs="Calibri" w:eastAsia="Calibri" w:hAnsi="Calibri"/>
          <w:color w:val="1A1A1A"/>
          <w:sz w:val="21"/>
          <w:szCs w:val="21"/>
        </w:rPr>
        <w:t xml:space="preserve">El precio por usuario fija el techo de todas las renovaciones futuras: bajarlo un 10 % hoy cuesta ese 10 % cada año que dure la relación. Estas concesiones cuestan una sola vez:</w:t>
      </w:r>
    </w:p>
    <w:p>
      <w:pPr>
        <w:pStyle w:val="ListParagraph"/>
        <w:numPr>
          <w:ilvl w:val="0"/>
          <w:numId w:val="2"/>
        </w:numPr>
        <w:spacing w:after="70" w:line="264"/>
      </w:pPr>
      <w:r>
        <w:rPr>
          <w:rFonts w:ascii="Calibri" w:cs="Calibri" w:eastAsia="Calibri" w:hAnsi="Calibri"/>
          <w:color w:val="1A1A1A"/>
          <w:sz w:val="21"/>
          <w:szCs w:val="21"/>
        </w:rPr>
        <w:t xml:space="preserve">Dos meses de gracia al inicio, mientras la cohorte arranca.</w:t>
      </w:r>
    </w:p>
    <w:p>
      <w:pPr>
        <w:pStyle w:val="ListParagraph"/>
        <w:numPr>
          <w:ilvl w:val="0"/>
          <w:numId w:val="2"/>
        </w:numPr>
        <w:spacing w:after="70" w:line="264"/>
      </w:pPr>
      <w:r>
        <w:rPr>
          <w:rFonts w:ascii="Calibri" w:cs="Calibri" w:eastAsia="Calibri" w:hAnsi="Calibri"/>
          <w:color w:val="1A1A1A"/>
          <w:sz w:val="21"/>
          <w:szCs w:val="21"/>
        </w:rPr>
        <w:t xml:space="preserve">Descuento del 5 % por pago anual anticipado: mejora tu caja y no toca la tarifa.</w:t>
      </w:r>
    </w:p>
    <w:p>
      <w:pPr>
        <w:pStyle w:val="ListParagraph"/>
        <w:numPr>
          <w:ilvl w:val="0"/>
          <w:numId w:val="2"/>
        </w:numPr>
        <w:spacing w:after="70" w:line="264"/>
      </w:pPr>
      <w:r>
        <w:rPr>
          <w:rFonts w:ascii="Calibri" w:cs="Calibri" w:eastAsia="Calibri" w:hAnsi="Calibri"/>
          <w:color w:val="1A1A1A"/>
          <w:sz w:val="21"/>
          <w:szCs w:val="21"/>
        </w:rPr>
        <w:t xml:space="preserve">Tres o cuatro talleres de implementación sin costo.</w:t>
      </w:r>
    </w:p>
    <w:p>
      <w:pPr>
        <w:pStyle w:val="ListParagraph"/>
        <w:numPr>
          <w:ilvl w:val="0"/>
          <w:numId w:val="2"/>
        </w:numPr>
        <w:spacing w:after="70" w:line="264"/>
      </w:pPr>
      <w:r>
        <w:rPr>
          <w:rFonts w:ascii="Calibri" w:cs="Calibri" w:eastAsia="Calibri" w:hAnsi="Calibri"/>
          <w:color w:val="1A1A1A"/>
          <w:sz w:val="21"/>
          <w:szCs w:val="21"/>
        </w:rPr>
        <w:t xml:space="preserve">Un módulo adicional gratis en la primera renovación.</w:t>
      </w:r>
    </w:p>
    <w:p>
      <w:pPr>
        <w:pStyle w:val="ListParagraph"/>
        <w:numPr>
          <w:ilvl w:val="0"/>
          <w:numId w:val="2"/>
        </w:numPr>
        <w:spacing w:after="70" w:line="264"/>
      </w:pPr>
      <w:r>
        <w:rPr>
          <w:rFonts w:ascii="Calibri" w:cs="Calibri" w:eastAsia="Calibri" w:hAnsi="Calibri"/>
          <w:i/>
          <w:iCs/>
          <w:color w:val="1A1A1A"/>
          <w:sz w:val="21"/>
          <w:szCs w:val="21"/>
        </w:rPr>
        <w:t xml:space="preserve">Y una que además te sirve: </w:t>
      </w:r>
      <w:r>
        <w:rPr>
          <w:rFonts w:ascii="Calibri" w:cs="Calibri" w:eastAsia="Calibri" w:hAnsi="Calibri"/>
          <w:color w:val="1A1A1A"/>
          <w:sz w:val="21"/>
          <w:szCs w:val="21"/>
        </w:rPr>
        <w:t xml:space="preserve">descuento a cambio de figurar como caso de referencia, con permiso escrito para nombrar a la cámara ante otras cámaras. Es el activo comercial que más vale cuando no tienes trayectoria.</w:t>
      </w:r>
    </w:p>
    <w:p>
      <w:pPr>
        <w:pBdr>
          <w:top w:val="single" w:color="FBEAEA" w:sz="2" w:space="8"/>
          <w:left w:val="single" w:color="8A1C1C" w:sz="18" w:space="10"/>
        </w:pBdr>
        <w:shd w:fill="FBEAEA" w:color="auto" w:val="clear"/>
        <w:spacing w:after="60" w:before="150" w:line="270"/>
        <w:ind w:left="150" w:right="150"/>
      </w:pPr>
      <w:r>
        <w:rPr>
          <w:rFonts w:ascii="Calibri" w:cs="Calibri" w:eastAsia="Calibri" w:hAnsi="Calibri"/>
          <w:b/>
          <w:bCs/>
          <w:color w:val="8A1C1C"/>
          <w:sz w:val="21"/>
          <w:szCs w:val="21"/>
        </w:rPr>
        <w:t xml:space="preserve">Nunca conceder</w:t>
      </w:r>
    </w:p>
    <w:p>
      <w:pPr>
        <w:pBdr>
          <w:bottom w:val="single" w:color="FBEAEA" w:sz="2" w:space="8"/>
          <w:left w:val="single" w:color="8A1C1C" w:sz="18" w:space="10"/>
        </w:pBdr>
        <w:shd w:fill="FBEAEA" w:color="auto" w:val="clear"/>
        <w:spacing w:after="180" w:before="0" w:line="270"/>
        <w:ind w:left="150" w:right="150"/>
      </w:pPr>
      <w:r>
        <w:rPr>
          <w:rFonts w:ascii="Calibri" w:cs="Calibri" w:eastAsia="Calibri" w:hAnsi="Calibri"/>
          <w:color w:val="1A1A1A"/>
          <w:sz w:val="21"/>
          <w:szCs w:val="21"/>
        </w:rPr>
        <w:t xml:space="preserve">Exclusividad territorial sin una compensación que valga el mercado que cierra; cesión de derechos sobre el software; ni renovación a precio congelado por más de un año.</w:t>
      </w:r>
    </w:p>
    <w:p>
      <w:pPr>
        <w:pStyle w:val="Heading1"/>
        <w:pBdr>
          <w:bottom w:val="single" w:color="BBD1E8" w:sz="10" w:space="6"/>
        </w:pBdr>
        <w:spacing w:after="170" w:before="380"/>
      </w:pPr>
      <w:r>
        <w:rPr>
          <w:rFonts w:ascii="Calibri" w:cs="Calibri" w:eastAsia="Calibri" w:hAnsi="Calibri"/>
          <w:b/>
          <w:bCs/>
          <w:color w:val="14497E"/>
          <w:sz w:val="30"/>
          <w:szCs w:val="30"/>
        </w:rPr>
        <w:t xml:space="preserve">5 · Lo que falta antes de cobrar</w:t>
      </w:r>
    </w:p>
    <w:p>
      <w:pPr>
        <w:spacing w:after="140" w:before="0" w:line="276"/>
      </w:pPr>
      <w:r>
        <w:rPr>
          <w:rFonts w:ascii="Calibri" w:cs="Calibri" w:eastAsia="Calibri" w:hAnsi="Calibri"/>
          <w:color w:val="1A1A1A"/>
          <w:sz w:val="21"/>
          <w:szCs w:val="21"/>
        </w:rPr>
        <w:t xml:space="preserve">Tres asuntos abiertos. Ninguno impide preparar la propuesta; los tres impiden firmar.</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3000"/>
        <w:gridCol w:w="4360"/>
        <w:gridCol w:w="2000"/>
      </w:tblGrid>
      <w:tr>
        <w:trPr>
          <w:tblHeader/>
        </w:trPr>
        <w:tc>
          <w:tcPr>
            <w:tcW w:type="dxa" w:w="30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Asunto</w:t>
            </w:r>
          </w:p>
        </w:tc>
        <w:tc>
          <w:tcPr>
            <w:tcW w:type="dxa" w:w="43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Por qué bloquea</w:t>
            </w:r>
          </w:p>
        </w:tc>
        <w:tc>
          <w:tcPr>
            <w:tcW w:type="dxa" w:w="2000"/>
            <w:shd w:fill="14497E"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FFFFFF"/>
                <w:sz w:val="20"/>
                <w:szCs w:val="20"/>
              </w:rPr>
              <w:t xml:space="preserve">Esfuerzo</w:t>
            </w:r>
          </w:p>
        </w:tc>
      </w:tr>
      <w:tr>
        <w:tc>
          <w:tcPr>
            <w:tcW w:type="dxa" w:w="300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Panel de cohorte para la cámara</w:t>
            </w:r>
          </w:p>
        </w:tc>
        <w:tc>
          <w:tcPr>
            <w:tcW w:type="dxa" w:w="4360"/>
            <w:shd w:fill="FBEAEA"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Vendiendo la plataforma sola, el panel ES lo que compra la cámara: las empresas usan la bitácora, la cámara quiere ver el avance de su cohorte. Hoy no existe; la página que hay es una demostración con datos de ejemplo. El cálculo del avance ya está resuelto en la base de datos, así que es trabajo de pantalla.</w:t>
            </w:r>
          </w:p>
        </w:tc>
        <w:tc>
          <w:tcPr>
            <w:tcW w:type="dxa" w:w="2000"/>
            <w:shd w:fill="FBEAEA"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Días</w:t>
            </w:r>
          </w:p>
        </w:tc>
      </w:tr>
      <w:tr>
        <w:tc>
          <w:tcPr>
            <w:tcW w:type="dxa" w:w="30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Control de accesos</w:t>
            </w:r>
          </w:p>
        </w:tc>
        <w:tc>
          <w:tcPr>
            <w:tcW w:type="dxa" w:w="4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El registro es abierto: cualquiera con el enlace crea una cuenta, se asigna a la cohorte activa y recibe todos los módulos. Sin cupos no hay nada que vender.</w:t>
            </w:r>
          </w:p>
        </w:tc>
        <w:tc>
          <w:tcPr>
            <w:tcW w:type="dxa" w:w="2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Días</w:t>
            </w:r>
          </w:p>
        </w:tc>
      </w:tr>
      <w:tr>
        <w:tc>
          <w:tcPr>
            <w:tcW w:type="dxa" w:w="30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Planes pagos de la infraestructura</w:t>
            </w:r>
          </w:p>
        </w:tc>
        <w:tc>
          <w:tcPr>
            <w:tcW w:type="dxa" w:w="43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El plan Hobby de Vercel prohíbe el uso comercial y el plan gratuito de Supabase pausa el proyecto tras siete días sin actividad, con tres semanas de trabajo autónomo entre sesiones. No se puede facturar desde donde está hoy.</w:t>
            </w:r>
          </w:p>
        </w:tc>
        <w:tc>
          <w:tcPr>
            <w:tcW w:type="dxa" w:w="2000"/>
            <w:tcMar>
              <w:top w:type="dxa" w:w="90"/>
              <w:left w:type="dxa" w:w="130"/>
              <w:bottom w:type="dxa" w:w="90"/>
              <w:right w:type="dxa" w:w="130"/>
            </w:tcMar>
            <w:vAlign w:val="center"/>
          </w:tcPr>
          <w:p>
            <w:pPr>
              <w:spacing w:after="0" w:line="252"/>
              <w:jc w:val="center"/>
            </w:pPr>
            <w:r>
              <w:rPr>
                <w:rFonts w:ascii="Calibri" w:cs="Calibri" w:eastAsia="Calibri" w:hAnsi="Calibri"/>
                <w:color w:val="1A1A1A"/>
                <w:sz w:val="20"/>
                <w:szCs w:val="20"/>
              </w:rPr>
              <w:t xml:space="preserve">1 hora</w:t>
            </w:r>
          </w:p>
        </w:tc>
      </w:tr>
    </w:tbl>
    <w:p>
      <w:pPr>
        <w:spacing w:after="4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Y uno jurídico, antes del primer usuario registrado</w:t>
      </w:r>
    </w:p>
    <w:p>
      <w:pPr>
        <w:pStyle w:val="ListParagraph"/>
        <w:numPr>
          <w:ilvl w:val="0"/>
          <w:numId w:val="2"/>
        </w:numPr>
        <w:spacing w:after="70" w:line="264"/>
      </w:pPr>
      <w:r>
        <w:rPr>
          <w:rFonts w:ascii="Calibri" w:cs="Calibri" w:eastAsia="Calibri" w:hAnsi="Calibri"/>
          <w:b/>
          <w:bCs/>
          <w:color w:val="1A1A1A"/>
          <w:sz w:val="21"/>
          <w:szCs w:val="21"/>
        </w:rPr>
        <w:t xml:space="preserve">Contrato de transmisión de datos (Ley 1581 de 2012). </w:t>
      </w:r>
      <w:r>
        <w:rPr>
          <w:rFonts w:ascii="Calibri" w:cs="Calibri" w:eastAsia="Calibri" w:hAnsi="Calibri"/>
          <w:color w:val="1A1A1A"/>
          <w:sz w:val="21"/>
          <w:szCs w:val="21"/>
        </w:rPr>
        <w:t xml:space="preserve">La cámara es responsable del tratamiento y ALQUIMIA encargado. Debe estar firmado antes de que se registre el primer empresario, no después.</w:t>
      </w:r>
    </w:p>
    <w:p>
      <w:pPr>
        <w:pStyle w:val="ListParagraph"/>
        <w:numPr>
          <w:ilvl w:val="0"/>
          <w:numId w:val="2"/>
        </w:numPr>
        <w:spacing w:after="70" w:line="264"/>
      </w:pPr>
      <w:r>
        <w:rPr>
          <w:rFonts w:ascii="Calibri" w:cs="Calibri" w:eastAsia="Calibri" w:hAnsi="Calibri"/>
          <w:b/>
          <w:bCs/>
          <w:color w:val="1A1A1A"/>
          <w:sz w:val="21"/>
          <w:szCs w:val="21"/>
        </w:rPr>
        <w:t xml:space="preserve">Redacción del contrato. </w:t>
      </w:r>
      <w:r>
        <w:rPr>
          <w:rFonts w:ascii="Calibri" w:cs="Calibri" w:eastAsia="Calibri" w:hAnsi="Calibri"/>
          <w:color w:val="1A1A1A"/>
          <w:sz w:val="21"/>
          <w:szCs w:val="21"/>
        </w:rPr>
        <w:t xml:space="preserve">Debe decir «licencia de uso», nunca «desarrollo» ni «obra por encargo»: esa palabra abre la discusión sobre quién es dueño del software.</w:t>
      </w:r>
    </w:p>
    <w:sectPr>
      <w:footerReference w:type="default" r:id="rId7"/>
      <w:pgSz w:w="12240" w:h="15840"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1E8" w:sz="4" w:space="8"/>
      </w:pBdr>
      <w:jc w:val="center"/>
    </w:pPr>
    <w:r>
      <w:rPr>
        <w:rFonts w:ascii="Calibri" w:cs="Calibri" w:eastAsia="Calibri" w:hAnsi="Calibri"/>
        <w:b/>
        <w:bCs/>
        <w:color w:val="8A1C1C"/>
        <w:sz w:val="16"/>
        <w:szCs w:val="16"/>
      </w:rPr>
      <w:t xml:space="preserve">USO INTERNO · NO ENVIAR AL CLIENTE · página </w:t>
    </w:r>
    <w:r>
      <w:rPr>
        <w:rFonts w:ascii="Calibri" w:cs="Calibri" w:eastAsia="Calibri" w:hAnsi="Calibri"/>
        <w:color w:val="8A1C1C"/>
        <w:sz w:val="16"/>
        <w:szCs w:val="16"/>
      </w:rPr>
      <w:fldChar w:fldCharType="begin"/>
      <w:instrText xml:space="preserve">PAGE</w:instrText>
      <w:fldChar w:fldCharType="separate"/>
      <w:fldChar w:fldCharType="end"/>
    </w:r>
    <w:r>
      <w:rPr>
        <w:rFonts w:ascii="Calibri" w:cs="Calibri" w:eastAsia="Calibri" w:hAnsi="Calibri"/>
        <w:color w:val="8A1C1C"/>
        <w:sz w:val="16"/>
        <w:szCs w:val="16"/>
      </w:rPr>
      <w:t xml:space="preserve"> de </w:t>
    </w:r>
    <w:r>
      <w:rPr>
        <w:rFonts w:ascii="Calibri" w:cs="Calibri" w:eastAsia="Calibri" w:hAnsi="Calibri"/>
        <w:color w:val="8A1C1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B6AB5"/>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449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de precio · USO INTERNO</dc:title>
  <dc:creator>ALQUIMIA</dc:creator>
  <dc:description>Estructura de costos, punto de equilibrio y guardarraíles de negociación. No enviar al cliente.</dc:description>
  <cp:lastModifiedBy>Un-named</cp:lastModifiedBy>
  <cp:revision>1</cp:revision>
  <dcterms:created xsi:type="dcterms:W3CDTF">2026-09-17T21:43:21.952Z</dcterms:created>
  <dcterms:modified xsi:type="dcterms:W3CDTF">2026-09-17T21:43:21.952Z</dcterms:modified>
</cp:coreProperties>
</file>

<file path=docProps/custom.xml><?xml version="1.0" encoding="utf-8"?>
<Properties xmlns="http://schemas.openxmlformats.org/officeDocument/2006/custom-properties" xmlns:vt="http://schemas.openxmlformats.org/officeDocument/2006/docPropsVTypes"/>
</file>