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line="276"/>
      </w:pPr>
      <w:r>
        <w:rPr>
          <w:rFonts w:ascii="Calibri" w:cs="Calibri" w:eastAsia="Calibri" w:hAnsi="Calibri"/>
          <w:b/>
          <w:bCs/>
          <w:color w:val="14497E"/>
          <w:sz w:val="26"/>
          <w:szCs w:val="26"/>
        </w:rPr>
        <w:t xml:space="preserve">ALQUIMIA</w:t>
      </w:r>
    </w:p>
    <w:p>
      <w:pPr>
        <w:spacing w:after="700" w:before="0" w:line="276"/>
      </w:pPr>
      <w:r>
        <w:rPr>
          <w:rFonts w:ascii="Calibri" w:cs="Calibri" w:eastAsia="Calibri" w:hAnsi="Calibri"/>
          <w:color w:val="5A6470"/>
          <w:sz w:val="19"/>
          <w:szCs w:val="19"/>
        </w:rPr>
        <w:t xml:space="preserve">Productos digitales con inteligencia artificial · Medellín</w:t>
      </w:r>
    </w:p>
    <w:p>
      <w:pPr>
        <w:spacing w:after="90" w:before="0" w:line="276"/>
      </w:pPr>
      <w:r>
        <w:rPr>
          <w:rFonts w:ascii="Calibri" w:cs="Calibri" w:eastAsia="Calibri" w:hAnsi="Calibri"/>
          <w:b/>
          <w:bCs/>
          <w:color w:val="14497E"/>
          <w:sz w:val="56"/>
          <w:szCs w:val="56"/>
        </w:rPr>
        <w:t xml:space="preserve">Brújula empresarial</w:t>
      </w:r>
    </w:p>
    <w:p>
      <w:pPr>
        <w:spacing w:after="60" w:before="0" w:line="276"/>
      </w:pPr>
      <w:r>
        <w:rPr>
          <w:rFonts w:ascii="Calibri" w:cs="Calibri" w:eastAsia="Calibri" w:hAnsi="Calibri"/>
          <w:color w:val="5A6470"/>
          <w:sz w:val="26"/>
          <w:szCs w:val="26"/>
        </w:rPr>
        <w:t xml:space="preserve">Plataforma de acompañamiento para programas de desarrollo empresarial</w:t>
      </w:r>
    </w:p>
    <w:p>
      <w:pPr>
        <w:pBdr>
          <w:bottom w:val="single" w:color="0C7A6F" w:sz="14" w:space="4"/>
        </w:pBdr>
        <w:spacing w:after="560"/>
      </w:pPr>
    </w:p>
    <w:p>
      <w:pPr>
        <w:spacing w:after="180" w:before="0" w:line="276"/>
      </w:pPr>
      <w:r>
        <w:rPr>
          <w:rFonts w:ascii="Calibri" w:cs="Calibri" w:eastAsia="Calibri" w:hAnsi="Calibri"/>
          <w:b/>
          <w:bCs/>
          <w:color w:val="0C7A6F"/>
          <w:sz w:val="19"/>
          <w:szCs w:val="19"/>
        </w:rPr>
        <w:t xml:space="preserve">PROPUESTA COMERCIAL</w:t>
      </w:r>
    </w:p>
    <w:p>
      <w:pPr>
        <w:spacing w:after="90" w:before="0" w:line="276"/>
      </w:pPr>
      <w:r>
        <w:rPr>
          <w:rFonts w:ascii="Calibri" w:cs="Calibri" w:eastAsia="Calibri" w:hAnsi="Calibri"/>
          <w:color w:val="5A6470"/>
          <w:sz w:val="22"/>
          <w:szCs w:val="22"/>
        </w:rPr>
        <w:t xml:space="preserve">Preparada para  </w:t>
      </w:r>
      <w:r>
        <w:rPr>
          <w:rFonts w:ascii="Calibri" w:cs="Calibri" w:eastAsia="Calibri" w:hAnsi="Calibri"/>
          <w:b/>
          <w:bCs/>
          <w:color w:val="1A1A1A"/>
          <w:sz w:val="22"/>
          <w:szCs w:val="22"/>
        </w:rPr>
        <w:t xml:space="preserve">[NOMBRE DE LA CÁMARA DE COMERCIO]</w:t>
      </w:r>
    </w:p>
    <w:p>
      <w:pPr>
        <w:spacing w:after="90" w:before="0" w:line="276"/>
      </w:pPr>
      <w:r>
        <w:rPr>
          <w:rFonts w:ascii="Calibri" w:cs="Calibri" w:eastAsia="Calibri" w:hAnsi="Calibri"/>
          <w:color w:val="5A6470"/>
          <w:sz w:val="22"/>
          <w:szCs w:val="22"/>
        </w:rPr>
        <w:t xml:space="preserve">Atención  </w:t>
      </w:r>
      <w:r>
        <w:rPr>
          <w:rFonts w:ascii="Calibri" w:cs="Calibri" w:eastAsia="Calibri" w:hAnsi="Calibri"/>
          <w:color w:val="1A1A1A"/>
          <w:sz w:val="22"/>
          <w:szCs w:val="22"/>
        </w:rPr>
        <w:t xml:space="preserve">[NOMBRE DEL DESTINATARIO] · [CARGO]</w:t>
      </w:r>
    </w:p>
    <w:p>
      <w:pPr>
        <w:spacing w:after="90" w:before="0" w:line="276"/>
      </w:pPr>
      <w:r>
        <w:rPr>
          <w:rFonts w:ascii="Calibri" w:cs="Calibri" w:eastAsia="Calibri" w:hAnsi="Calibri"/>
          <w:color w:val="5A6470"/>
          <w:sz w:val="22"/>
          <w:szCs w:val="22"/>
        </w:rPr>
        <w:t xml:space="preserve">Ciudad  </w:t>
      </w:r>
      <w:r>
        <w:rPr>
          <w:rFonts w:ascii="Calibri" w:cs="Calibri" w:eastAsia="Calibri" w:hAnsi="Calibri"/>
          <w:color w:val="1A1A1A"/>
          <w:sz w:val="22"/>
          <w:szCs w:val="22"/>
        </w:rPr>
        <w:t xml:space="preserve">[CIUDAD]</w:t>
      </w:r>
    </w:p>
    <w:p>
      <w:pPr>
        <w:spacing w:after="90" w:before="0" w:line="276"/>
      </w:pPr>
      <w:r>
        <w:rPr>
          <w:rFonts w:ascii="Calibri" w:cs="Calibri" w:eastAsia="Calibri" w:hAnsi="Calibri"/>
          <w:color w:val="5A6470"/>
          <w:sz w:val="22"/>
          <w:szCs w:val="22"/>
        </w:rPr>
        <w:t xml:space="preserve">Fecha  </w:t>
      </w:r>
      <w:r>
        <w:rPr>
          <w:rFonts w:ascii="Calibri" w:cs="Calibri" w:eastAsia="Calibri" w:hAnsi="Calibri"/>
          <w:color w:val="1A1A1A"/>
          <w:sz w:val="22"/>
          <w:szCs w:val="22"/>
        </w:rPr>
        <w:t xml:space="preserve">[FECHA]</w:t>
      </w:r>
    </w:p>
    <w:p>
      <w:pPr>
        <w:spacing w:after="700" w:before="0" w:line="276"/>
      </w:pPr>
      <w:r>
        <w:rPr>
          <w:rFonts w:ascii="Calibri" w:cs="Calibri" w:eastAsia="Calibri" w:hAnsi="Calibri"/>
          <w:color w:val="5A6470"/>
          <w:sz w:val="22"/>
          <w:szCs w:val="22"/>
        </w:rPr>
        <w:t xml:space="preserve">Vigencia de esta oferta  </w:t>
      </w:r>
      <w:r>
        <w:rPr>
          <w:rFonts w:ascii="Calibri" w:cs="Calibri" w:eastAsia="Calibri" w:hAnsi="Calibri"/>
          <w:color w:val="1A1A1A"/>
          <w:sz w:val="22"/>
          <w:szCs w:val="22"/>
        </w:rPr>
        <w:t xml:space="preserve">30 días calendario</w:t>
      </w:r>
    </w:p>
    <w:p>
      <w:pPr>
        <w:pBdr>
          <w:top w:val="single" w:color="E9F0F8" w:sz="2" w:space="8"/>
          <w:left w:val="single" w:color="14497E" w:sz="18" w:space="10"/>
        </w:pBdr>
        <w:shd w:fill="E9F0F8" w:color="auto" w:val="clear"/>
        <w:spacing w:after="60" w:before="150" w:line="270"/>
        <w:ind w:left="150" w:right="150"/>
      </w:pPr>
      <w:r>
        <w:rPr>
          <w:rFonts w:ascii="Calibri" w:cs="Calibri" w:eastAsia="Calibri" w:hAnsi="Calibri"/>
          <w:b/>
          <w:bCs/>
          <w:color w:val="14497E"/>
          <w:sz w:val="21"/>
          <w:szCs w:val="21"/>
        </w:rPr>
        <w:t xml:space="preserve">Presentado por</w:t>
      </w:r>
    </w:p>
    <w:p>
      <w:pPr>
        <w:pBdr>
          <w:left w:val="single" w:color="14497E" w:sz="18" w:space="10"/>
        </w:pBdr>
        <w:shd w:fill="E9F0F8" w:color="auto" w:val="clear"/>
        <w:spacing w:after="60" w:before="0" w:line="270"/>
        <w:ind w:left="150" w:right="150"/>
      </w:pPr>
      <w:r>
        <w:rPr>
          <w:rFonts w:ascii="Calibri" w:cs="Calibri" w:eastAsia="Calibri" w:hAnsi="Calibri"/>
          <w:color w:val="1A1A1A"/>
          <w:sz w:val="21"/>
          <w:szCs w:val="21"/>
        </w:rPr>
        <w:t xml:space="preserve">ALQUIMIA · alquimia7.ia@gmail.com · Medellín, Colombia</w:t>
      </w:r>
    </w:p>
    <w:p>
      <w:pPr>
        <w:pBdr>
          <w:bottom w:val="single" w:color="E9F0F8" w:sz="2" w:space="8"/>
          <w:left w:val="single" w:color="14497E" w:sz="18" w:space="10"/>
        </w:pBdr>
        <w:shd w:fill="E9F0F8" w:color="auto" w:val="clear"/>
        <w:spacing w:after="180" w:before="0" w:line="270"/>
        <w:ind w:left="150" w:right="150"/>
      </w:pPr>
      <w:r>
        <w:rPr>
          <w:rFonts w:ascii="Calibri" w:cs="Calibri" w:eastAsia="Calibri" w:hAnsi="Calibri"/>
          <w:i/>
          <w:iCs/>
          <w:color w:val="5A6470"/>
          <w:sz w:val="19"/>
          <w:szCs w:val="19"/>
        </w:rPr>
        <w:t xml:space="preserve">Documento confidencial, para uso exclusivo del destinatario.</w:t>
      </w:r>
    </w:p>
    <w:p>
      <w:r>
        <w:br w:type="page"/>
      </w:r>
    </w:p>
    <w:p>
      <w:pPr>
        <w:pStyle w:val="Heading1"/>
        <w:pBdr>
          <w:bottom w:val="single" w:color="BBD1E8" w:sz="10" w:space="6"/>
        </w:pBdr>
        <w:spacing w:after="170" w:before="380"/>
      </w:pPr>
      <w:r>
        <w:rPr>
          <w:rFonts w:ascii="Calibri" w:cs="Calibri" w:eastAsia="Calibri" w:hAnsi="Calibri"/>
          <w:b/>
          <w:bCs/>
          <w:color w:val="14497E"/>
          <w:sz w:val="30"/>
          <w:szCs w:val="30"/>
        </w:rPr>
        <w:t xml:space="preserve">1 · Resumen ejecutivo</w:t>
      </w:r>
    </w:p>
    <w:p>
      <w:pPr>
        <w:spacing w:after="140" w:before="0" w:line="276"/>
      </w:pPr>
      <w:r>
        <w:rPr>
          <w:rFonts w:ascii="Calibri" w:cs="Calibri" w:eastAsia="Calibri" w:hAnsi="Calibri"/>
          <w:color w:val="1A1A1A"/>
          <w:sz w:val="21"/>
          <w:szCs w:val="21"/>
        </w:rPr>
        <w:t xml:space="preserve">Las cámaras de comercio acompañan cada año a decenas de empresas en programas de diagnóstico, planeación y transformación. Ese trabajo se documenta hoy en archivos de Word, Excel y PowerPoint dispersos entre los empresarios y los tutores. El resultado es conocido: no hay forma de saber quién avanzó, el empresario termina sin un entregable consolidado, y el conocimiento que el programa produce se pierde al cerrar la cohorte.</w:t>
      </w:r>
    </w:p>
    <w:p>
      <w:pPr>
        <w:spacing w:after="140" w:before="0" w:line="276"/>
      </w:pPr>
      <w:r>
        <w:rPr>
          <w:rFonts w:ascii="Calibri" w:cs="Calibri" w:eastAsia="Calibri" w:hAnsi="Calibri"/>
          <w:color w:val="1A1A1A"/>
          <w:sz w:val="21"/>
          <w:szCs w:val="21"/>
        </w:rPr>
        <w:t xml:space="preserve">Brújula empresarial convierte el programa de la cámara en una plataforma en línea. Cada empresa trabaja en una bitácora propia, con su equipo, desde cualquier dispositivo. El avance se registra solo. Al terminar, cada empresa descarga un informe completo de su trabajo, y la cámara ve el estado de toda su cohorte en un panel.</w:t>
      </w:r>
    </w:p>
    <w:p>
      <w:pPr>
        <w:pBdr>
          <w:top w:val="single" w:color="E4F6F3" w:sz="2" w:space="8"/>
          <w:bottom w:val="single" w:color="E4F6F3" w:sz="2" w:space="8"/>
          <w:left w:val="single" w:color="0C7A6F" w:sz="18" w:space="10"/>
        </w:pBdr>
        <w:shd w:fill="E4F6F3" w:color="auto" w:val="clear"/>
        <w:spacing w:after="180" w:before="150" w:line="270"/>
        <w:ind w:left="150" w:right="150"/>
      </w:pPr>
      <w:r>
        <w:rPr>
          <w:rFonts w:ascii="Calibri" w:cs="Calibri" w:eastAsia="Calibri" w:hAnsi="Calibri"/>
          <w:b/>
          <w:bCs/>
          <w:color w:val="1A1A1A"/>
          <w:sz w:val="21"/>
          <w:szCs w:val="21"/>
        </w:rPr>
        <w:t xml:space="preserve">El contenido de su programa es suyo. </w:t>
      </w:r>
      <w:r>
        <w:rPr>
          <w:rFonts w:ascii="Calibri" w:cs="Calibri" w:eastAsia="Calibri" w:hAnsi="Calibri"/>
          <w:color w:val="1A1A1A"/>
          <w:sz w:val="21"/>
          <w:szCs w:val="21"/>
        </w:rPr>
        <w:t xml:space="preserve">Brújula no impone metodología: sus talleres se cargan como contenido de la plataforma, con la marca de la cámara. Lo que se licencia es el motor, no el programa.</w:t>
      </w:r>
    </w:p>
    <w:p>
      <w:pPr>
        <w:spacing w:after="140" w:before="0" w:line="276"/>
      </w:pPr>
      <w:r>
        <w:rPr>
          <w:rFonts w:ascii="Calibri" w:cs="Calibri" w:eastAsia="Calibri" w:hAnsi="Calibri"/>
          <w:b/>
          <w:bCs/>
          <w:color w:val="1A1A1A"/>
          <w:sz w:val="21"/>
          <w:szCs w:val="21"/>
        </w:rPr>
        <w:t xml:space="preserve">Inversión de referencia para [N.º DE USUARIOS] usuarios: </w:t>
      </w:r>
      <w:r>
        <w:rPr>
          <w:rFonts w:ascii="Calibri" w:cs="Calibri" w:eastAsia="Calibri" w:hAnsi="Calibri"/>
          <w:color w:val="1A1A1A"/>
          <w:sz w:val="21"/>
          <w:szCs w:val="21"/>
        </w:rPr>
        <w:t xml:space="preserve">$7.000.000 de implementación por única vez y $45.360.000 de suscripción anual, antes de IVA. El detalle está en la sección 7.</w:t>
      </w:r>
    </w:p>
    <w:p>
      <w:pPr>
        <w:pStyle w:val="Heading1"/>
        <w:pBdr>
          <w:bottom w:val="single" w:color="BBD1E8" w:sz="10" w:space="6"/>
        </w:pBdr>
        <w:spacing w:after="170" w:before="380"/>
      </w:pPr>
      <w:r>
        <w:rPr>
          <w:rFonts w:ascii="Calibri" w:cs="Calibri" w:eastAsia="Calibri" w:hAnsi="Calibri"/>
          <w:b/>
          <w:bCs/>
          <w:color w:val="14497E"/>
          <w:sz w:val="30"/>
          <w:szCs w:val="30"/>
        </w:rPr>
        <w:t xml:space="preserve">2 · El problema que resuelve</w:t>
      </w:r>
    </w:p>
    <w:p>
      <w:pPr>
        <w:spacing w:after="140" w:before="0" w:line="276"/>
      </w:pPr>
      <w:r>
        <w:rPr>
          <w:rFonts w:ascii="Calibri" w:cs="Calibri" w:eastAsia="Calibri" w:hAnsi="Calibri"/>
          <w:color w:val="1A1A1A"/>
          <w:sz w:val="21"/>
          <w:szCs w:val="21"/>
        </w:rPr>
        <w:t xml:space="preserve">Al conversar con equipos que operan programas empresariales aparecen siempre los mismos cuatro puntos:</w:t>
      </w:r>
    </w:p>
    <w:p>
      <w:pPr>
        <w:pStyle w:val="ListParagraph"/>
        <w:numPr>
          <w:ilvl w:val="0"/>
          <w:numId w:val="2"/>
        </w:numPr>
        <w:spacing w:after="70" w:line="264"/>
      </w:pPr>
      <w:r>
        <w:rPr>
          <w:rFonts w:ascii="Calibri" w:cs="Calibri" w:eastAsia="Calibri" w:hAnsi="Calibri"/>
          <w:b/>
          <w:bCs/>
          <w:color w:val="1A1A1A"/>
          <w:sz w:val="21"/>
          <w:szCs w:val="21"/>
        </w:rPr>
        <w:t xml:space="preserve">No hay trazabilidad. </w:t>
      </w:r>
      <w:r>
        <w:rPr>
          <w:rFonts w:ascii="Calibri" w:cs="Calibri" w:eastAsia="Calibri" w:hAnsi="Calibri"/>
          <w:color w:val="1A1A1A"/>
          <w:sz w:val="21"/>
          <w:szCs w:val="21"/>
        </w:rPr>
        <w:t xml:space="preserve">El tutor se entera de que una empresa se quedó atrás en la sesión presencial, tres semanas después de que ocurriera.</w:t>
      </w:r>
    </w:p>
    <w:p>
      <w:pPr>
        <w:pStyle w:val="ListParagraph"/>
        <w:numPr>
          <w:ilvl w:val="0"/>
          <w:numId w:val="2"/>
        </w:numPr>
        <w:spacing w:after="70" w:line="264"/>
      </w:pPr>
      <w:r>
        <w:rPr>
          <w:rFonts w:ascii="Calibri" w:cs="Calibri" w:eastAsia="Calibri" w:hAnsi="Calibri"/>
          <w:b/>
          <w:bCs/>
          <w:color w:val="1A1A1A"/>
          <w:sz w:val="21"/>
          <w:szCs w:val="21"/>
        </w:rPr>
        <w:t xml:space="preserve">El entregable se arma a mano. </w:t>
      </w:r>
      <w:r>
        <w:rPr>
          <w:rFonts w:ascii="Calibri" w:cs="Calibri" w:eastAsia="Calibri" w:hAnsi="Calibri"/>
          <w:color w:val="1A1A1A"/>
          <w:sz w:val="21"/>
          <w:szCs w:val="21"/>
        </w:rPr>
        <w:t xml:space="preserve">Consolidar los talleres de cada empresa en un informe final consume días de trabajo del equipo de la cámara al cierre de cada cohorte.</w:t>
      </w:r>
    </w:p>
    <w:p>
      <w:pPr>
        <w:pStyle w:val="ListParagraph"/>
        <w:numPr>
          <w:ilvl w:val="0"/>
          <w:numId w:val="2"/>
        </w:numPr>
        <w:spacing w:after="70" w:line="264"/>
      </w:pPr>
      <w:r>
        <w:rPr>
          <w:rFonts w:ascii="Calibri" w:cs="Calibri" w:eastAsia="Calibri" w:hAnsi="Calibri"/>
          <w:b/>
          <w:bCs/>
          <w:color w:val="1A1A1A"/>
          <w:sz w:val="21"/>
          <w:szCs w:val="21"/>
        </w:rPr>
        <w:t xml:space="preserve">No hay comparabilidad. </w:t>
      </w:r>
      <w:r>
        <w:rPr>
          <w:rFonts w:ascii="Calibri" w:cs="Calibri" w:eastAsia="Calibri" w:hAnsi="Calibri"/>
          <w:color w:val="1A1A1A"/>
          <w:sz w:val="21"/>
          <w:szCs w:val="21"/>
        </w:rPr>
        <w:t xml:space="preserve">Como cada empresa responde en su propio archivo, la cámara no puede leer la cohorte como un conjunto ni medir el impacto del programa.</w:t>
      </w:r>
    </w:p>
    <w:p>
      <w:pPr>
        <w:pStyle w:val="ListParagraph"/>
        <w:numPr>
          <w:ilvl w:val="0"/>
          <w:numId w:val="2"/>
        </w:numPr>
        <w:spacing w:after="70" w:line="264"/>
      </w:pPr>
      <w:r>
        <w:rPr>
          <w:rFonts w:ascii="Calibri" w:cs="Calibri" w:eastAsia="Calibri" w:hAnsi="Calibri"/>
          <w:b/>
          <w:bCs/>
          <w:color w:val="1A1A1A"/>
          <w:sz w:val="21"/>
          <w:szCs w:val="21"/>
        </w:rPr>
        <w:t xml:space="preserve">La información sensible circula por correo. </w:t>
      </w:r>
      <w:r>
        <w:rPr>
          <w:rFonts w:ascii="Calibri" w:cs="Calibri" w:eastAsia="Calibri" w:hAnsi="Calibri"/>
          <w:color w:val="1A1A1A"/>
          <w:sz w:val="21"/>
          <w:szCs w:val="21"/>
        </w:rPr>
        <w:t xml:space="preserve">Los talleres de finanzas piden ventas, márgenes y utilidades. Esos archivos viajan adjuntos entre personas que, en la misma cohorte, suelen ser competidores directos.</w:t>
      </w:r>
    </w:p>
    <w:p>
      <w:pPr>
        <w:pStyle w:val="Heading1"/>
        <w:pBdr>
          <w:bottom w:val="single" w:color="BBD1E8" w:sz="10" w:space="6"/>
        </w:pBdr>
        <w:spacing w:after="170" w:before="380"/>
      </w:pPr>
      <w:r>
        <w:rPr>
          <w:rFonts w:ascii="Calibri" w:cs="Calibri" w:eastAsia="Calibri" w:hAnsi="Calibri"/>
          <w:b/>
          <w:bCs/>
          <w:color w:val="14497E"/>
          <w:sz w:val="30"/>
          <w:szCs w:val="30"/>
        </w:rPr>
        <w:t xml:space="preserve">3 · La solución</w:t>
      </w:r>
    </w:p>
    <w:p>
      <w:pPr>
        <w:spacing w:after="140" w:before="0" w:line="276"/>
      </w:pPr>
      <w:r>
        <w:rPr>
          <w:rFonts w:ascii="Calibri" w:cs="Calibri" w:eastAsia="Calibri" w:hAnsi="Calibri"/>
          <w:color w:val="1A1A1A"/>
          <w:sz w:val="21"/>
          <w:szCs w:val="21"/>
        </w:rPr>
        <w:t xml:space="preserve">Brújula empresarial es una plataforma en línea, sin instalación, a la que cada empresario entra con su propio correo y contraseña desde el computador o el teléfono.</w:t>
      </w:r>
    </w:p>
    <w:p>
      <w:pPr>
        <w:pStyle w:val="Heading2"/>
        <w:spacing w:after="110" w:before="260"/>
      </w:pPr>
      <w:r>
        <w:rPr>
          <w:rFonts w:ascii="Calibri" w:cs="Calibri" w:eastAsia="Calibri" w:hAnsi="Calibri"/>
          <w:b/>
          <w:bCs/>
          <w:color w:val="1B6AB5"/>
          <w:sz w:val="24"/>
          <w:szCs w:val="24"/>
        </w:rPr>
        <w:t xml:space="preserve">Cómo funciona</w:t>
      </w:r>
    </w:p>
    <w:p>
      <w:pPr>
        <w:pStyle w:val="ListParagraph"/>
        <w:numPr>
          <w:ilvl w:val="0"/>
          <w:numId w:val="3"/>
        </w:numPr>
        <w:spacing w:after="90" w:line="264"/>
      </w:pPr>
      <w:r>
        <w:rPr>
          <w:rFonts w:ascii="Calibri" w:cs="Calibri" w:eastAsia="Calibri" w:hAnsi="Calibri"/>
          <w:b/>
          <w:bCs/>
          <w:color w:val="1A1A1A"/>
          <w:sz w:val="21"/>
          <w:szCs w:val="21"/>
        </w:rPr>
        <w:t xml:space="preserve">La cámara entrega el contenido de su programa. </w:t>
      </w:r>
      <w:r>
        <w:rPr>
          <w:rFonts w:ascii="Calibri" w:cs="Calibri" w:eastAsia="Calibri" w:hAnsi="Calibri"/>
          <w:color w:val="1A1A1A"/>
          <w:sz w:val="21"/>
          <w:szCs w:val="21"/>
        </w:rPr>
        <w:t xml:space="preserve">ALQUIMIA lo convierte en talleres interactivos con la marca de la cámara.</w:t>
      </w:r>
    </w:p>
    <w:p>
      <w:pPr>
        <w:pStyle w:val="ListParagraph"/>
        <w:numPr>
          <w:ilvl w:val="0"/>
          <w:numId w:val="3"/>
        </w:numPr>
        <w:spacing w:after="90" w:line="264"/>
      </w:pPr>
      <w:r>
        <w:rPr>
          <w:rFonts w:ascii="Calibri" w:cs="Calibri" w:eastAsia="Calibri" w:hAnsi="Calibri"/>
          <w:b/>
          <w:bCs/>
          <w:color w:val="1A1A1A"/>
          <w:sz w:val="21"/>
          <w:szCs w:val="21"/>
        </w:rPr>
        <w:t xml:space="preserve">Cada empresa recibe su bitácora. </w:t>
      </w:r>
      <w:r>
        <w:rPr>
          <w:rFonts w:ascii="Calibri" w:cs="Calibri" w:eastAsia="Calibri" w:hAnsi="Calibri"/>
          <w:color w:val="1A1A1A"/>
          <w:sz w:val="21"/>
          <w:szCs w:val="21"/>
        </w:rPr>
        <w:t xml:space="preserve">Hasta cinco personas de la misma empresa trabajan sobre ella en equipo.</w:t>
      </w:r>
    </w:p>
    <w:p>
      <w:pPr>
        <w:pStyle w:val="ListParagraph"/>
        <w:numPr>
          <w:ilvl w:val="0"/>
          <w:numId w:val="3"/>
        </w:numPr>
        <w:spacing w:after="90" w:line="264"/>
      </w:pPr>
      <w:r>
        <w:rPr>
          <w:rFonts w:ascii="Calibri" w:cs="Calibri" w:eastAsia="Calibri" w:hAnsi="Calibri"/>
          <w:b/>
          <w:bCs/>
          <w:color w:val="1A1A1A"/>
          <w:sz w:val="21"/>
          <w:szCs w:val="21"/>
        </w:rPr>
        <w:t xml:space="preserve">El avance se guarda solo, campo por campo. </w:t>
      </w:r>
      <w:r>
        <w:rPr>
          <w:rFonts w:ascii="Calibri" w:cs="Calibri" w:eastAsia="Calibri" w:hAnsi="Calibri"/>
          <w:color w:val="1A1A1A"/>
          <w:sz w:val="21"/>
          <w:szCs w:val="21"/>
        </w:rPr>
        <w:t xml:space="preserve">Si se cae la conexión, lo escrito se conserva y se envía al volver la red.</w:t>
      </w:r>
    </w:p>
    <w:p>
      <w:pPr>
        <w:pStyle w:val="ListParagraph"/>
        <w:numPr>
          <w:ilvl w:val="0"/>
          <w:numId w:val="3"/>
        </w:numPr>
        <w:spacing w:after="90" w:line="264"/>
      </w:pPr>
      <w:r>
        <w:rPr>
          <w:rFonts w:ascii="Calibri" w:cs="Calibri" w:eastAsia="Calibri" w:hAnsi="Calibri"/>
          <w:b/>
          <w:bCs/>
          <w:color w:val="1A1A1A"/>
          <w:sz w:val="21"/>
          <w:szCs w:val="21"/>
        </w:rPr>
        <w:t xml:space="preserve">La empresa ve sus conclusiones y descarga su informe. </w:t>
      </w:r>
      <w:r>
        <w:rPr>
          <w:rFonts w:ascii="Calibri" w:cs="Calibri" w:eastAsia="Calibri" w:hAnsi="Calibri"/>
          <w:color w:val="1A1A1A"/>
          <w:sz w:val="21"/>
          <w:szCs w:val="21"/>
        </w:rPr>
        <w:t xml:space="preserve">Un documento PDF con todo su trabajo, listo para presentar a su junta.</w:t>
      </w:r>
    </w:p>
    <w:p>
      <w:pPr>
        <w:pStyle w:val="ListParagraph"/>
        <w:numPr>
          <w:ilvl w:val="0"/>
          <w:numId w:val="3"/>
        </w:numPr>
        <w:spacing w:after="90" w:line="264"/>
      </w:pPr>
      <w:r>
        <w:rPr>
          <w:rFonts w:ascii="Calibri" w:cs="Calibri" w:eastAsia="Calibri" w:hAnsi="Calibri"/>
          <w:b/>
          <w:bCs/>
          <w:color w:val="1A1A1A"/>
          <w:sz w:val="21"/>
          <w:szCs w:val="21"/>
        </w:rPr>
        <w:t xml:space="preserve">La cámara sigue la cohorte desde su panel. </w:t>
      </w:r>
      <w:r>
        <w:rPr>
          <w:rFonts w:ascii="Calibri" w:cs="Calibri" w:eastAsia="Calibri" w:hAnsi="Calibri"/>
          <w:color w:val="1A1A1A"/>
          <w:sz w:val="21"/>
          <w:szCs w:val="21"/>
        </w:rPr>
        <w:t xml:space="preserve">Avance por empresa y por taller, y espacio para las observaciones de los tutores.</w:t>
      </w:r>
    </w:p>
    <w:p>
      <w:pPr>
        <w:pBdr>
          <w:top w:val="single" w:color="E4F6F3" w:sz="2" w:space="8"/>
          <w:left w:val="single" w:color="0C7A6F" w:sz="18" w:space="10"/>
        </w:pBdr>
        <w:shd w:fill="E4F6F3" w:color="auto" w:val="clear"/>
        <w:spacing w:after="60" w:before="150" w:line="270"/>
        <w:ind w:left="150" w:right="150"/>
      </w:pPr>
      <w:r>
        <w:rPr>
          <w:rFonts w:ascii="Calibri" w:cs="Calibri" w:eastAsia="Calibri" w:hAnsi="Calibri"/>
          <w:b/>
          <w:bCs/>
          <w:color w:val="1A1A1A"/>
          <w:sz w:val="21"/>
          <w:szCs w:val="21"/>
        </w:rPr>
        <w:t xml:space="preserve">El argumento que más pesa: el aislamiento entre empresas.</w:t>
      </w:r>
    </w:p>
    <w:p>
      <w:pPr>
        <w:pBdr>
          <w:bottom w:val="single" w:color="E4F6F3" w:sz="2" w:space="8"/>
          <w:left w:val="single" w:color="0C7A6F" w:sz="18" w:space="10"/>
        </w:pBdr>
        <w:shd w:fill="E4F6F3" w:color="auto" w:val="clear"/>
        <w:spacing w:after="180" w:before="0" w:line="270"/>
        <w:ind w:left="150" w:right="150"/>
      </w:pPr>
      <w:r>
        <w:rPr>
          <w:rFonts w:ascii="Calibri" w:cs="Calibri" w:eastAsia="Calibri" w:hAnsi="Calibri"/>
          <w:color w:val="1A1A1A"/>
          <w:sz w:val="21"/>
          <w:szCs w:val="21"/>
        </w:rPr>
        <w:t xml:space="preserve">En una cohorte hay competidores directos compartiendo plataforma, y los talleres de finanzas registran ventas, márgenes y utilidades por línea de producto. En Brújula ese aislamiento no depende de que el programa esté bien escrito: vive dentro de la base de datos misma, que sencillamente no entrega la información de una empresa a nadie más. Es la misma técnica que usan las plataformas bancarias.</w:t>
      </w:r>
    </w:p>
    <w:p>
      <w:pPr>
        <w:pStyle w:val="Heading1"/>
        <w:pBdr>
          <w:bottom w:val="single" w:color="BBD1E8" w:sz="10" w:space="6"/>
        </w:pBdr>
        <w:spacing w:after="170" w:before="380"/>
      </w:pPr>
      <w:r>
        <w:rPr>
          <w:rFonts w:ascii="Calibri" w:cs="Calibri" w:eastAsia="Calibri" w:hAnsi="Calibri"/>
          <w:b/>
          <w:bCs/>
          <w:color w:val="14497E"/>
          <w:sz w:val="30"/>
          <w:szCs w:val="30"/>
        </w:rPr>
        <w:t xml:space="preserve">4 · Qué incluye el servicio</w:t>
      </w:r>
    </w:p>
    <w:p>
      <w:pPr>
        <w:spacing w:after="140" w:before="0" w:line="276"/>
      </w:pPr>
      <w:r>
        <w:rPr>
          <w:rFonts w:ascii="Calibri" w:cs="Calibri" w:eastAsia="Calibri" w:hAnsi="Calibri"/>
          <w:color w:val="1A1A1A"/>
          <w:sz w:val="21"/>
          <w:szCs w:val="21"/>
        </w:rPr>
        <w:t xml:space="preserve">La columna de la derecha distingue lo que ya está funcionando de lo que se entrega al activar el servicio para su cámara. Preferimos decirlo así antes que prometer de más.</w:t>
      </w:r>
    </w:p>
    <w:tbl>
      <w:tblPr>
        <w:tblW w:type="dxa" w:w="9360"/>
        <w:tblBorders>
          <w:top w:val="single" w:color="BBD1E8" w:sz="4"/>
          <w:left w:val="single" w:color="BBD1E8" w:sz="4"/>
          <w:bottom w:val="single" w:color="BBD1E8" w:sz="4"/>
          <w:right w:val="single" w:color="BBD1E8" w:sz="4"/>
          <w:insideH w:val="single" w:color="BBD1E8" w:sz="2"/>
          <w:insideV w:val="single" w:color="BBD1E8" w:sz="2"/>
        </w:tblBorders>
      </w:tblPr>
      <w:tblGrid>
        <w:gridCol w:w="6360"/>
        <w:gridCol w:w="3000"/>
      </w:tblGrid>
      <w:tr>
        <w:trPr>
          <w:tblHeader/>
        </w:trPr>
        <w:tc>
          <w:tcPr>
            <w:tcW w:type="dxa" w:w="6360"/>
            <w:shd w:fill="14497E" w:color="auto" w:val="clear"/>
            <w:tcMar>
              <w:top w:type="dxa" w:w="90"/>
              <w:left w:type="dxa" w:w="130"/>
              <w:bottom w:type="dxa" w:w="90"/>
              <w:right w:type="dxa" w:w="130"/>
            </w:tcMar>
            <w:vAlign w:val="center"/>
          </w:tcPr>
          <w:p>
            <w:pPr>
              <w:spacing w:after="0" w:line="252"/>
              <w:jc w:val="left"/>
            </w:pPr>
            <w:r>
              <w:rPr>
                <w:rFonts w:ascii="Calibri" w:cs="Calibri" w:eastAsia="Calibri" w:hAnsi="Calibri"/>
                <w:b/>
                <w:bCs/>
                <w:color w:val="FFFFFF"/>
                <w:sz w:val="20"/>
                <w:szCs w:val="20"/>
              </w:rPr>
              <w:t xml:space="preserve">Componente</w:t>
            </w:r>
          </w:p>
        </w:tc>
        <w:tc>
          <w:tcPr>
            <w:tcW w:type="dxa" w:w="3000"/>
            <w:shd w:fill="14497E" w:color="auto" w:val="clear"/>
            <w:tcMar>
              <w:top w:type="dxa" w:w="90"/>
              <w:left w:type="dxa" w:w="130"/>
              <w:bottom w:type="dxa" w:w="90"/>
              <w:right w:type="dxa" w:w="130"/>
            </w:tcMar>
            <w:vAlign w:val="center"/>
          </w:tcPr>
          <w:p>
            <w:pPr>
              <w:spacing w:after="0" w:line="252"/>
              <w:jc w:val="center"/>
            </w:pPr>
            <w:r>
              <w:rPr>
                <w:rFonts w:ascii="Calibri" w:cs="Calibri" w:eastAsia="Calibri" w:hAnsi="Calibri"/>
                <w:b/>
                <w:bCs/>
                <w:color w:val="FFFFFF"/>
                <w:sz w:val="20"/>
                <w:szCs w:val="20"/>
              </w:rPr>
              <w:t xml:space="preserve">Estado</w:t>
            </w:r>
          </w:p>
        </w:tc>
      </w:tr>
      <w:tr>
        <w:tc>
          <w:tcPr>
            <w:tcW w:type="dxa" w:w="6360"/>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Talleres interactivos de su programa, cargados como contenido de la plataforma</w:t>
            </w:r>
          </w:p>
        </w:tc>
        <w:tc>
          <w:tcPr>
            <w:tcW w:type="dxa" w:w="3000"/>
            <w:tcMar>
              <w:top w:type="dxa" w:w="90"/>
              <w:left w:type="dxa" w:w="130"/>
              <w:bottom w:type="dxa" w:w="90"/>
              <w:right w:type="dxa" w:w="130"/>
            </w:tcMar>
            <w:vAlign w:val="center"/>
          </w:tcPr>
          <w:p>
            <w:pPr>
              <w:spacing w:after="0" w:line="252"/>
              <w:jc w:val="center"/>
            </w:pPr>
            <w:r>
              <w:rPr>
                <w:rFonts w:ascii="Calibri" w:cs="Calibri" w:eastAsia="Calibri" w:hAnsi="Calibri"/>
                <w:b/>
                <w:bCs/>
                <w:color w:val="0C7A6F"/>
                <w:sz w:val="20"/>
                <w:szCs w:val="20"/>
              </w:rPr>
              <w:t xml:space="preserve">Desde la activación</w:t>
            </w:r>
          </w:p>
        </w:tc>
      </w:tr>
      <w:tr>
        <w:tc>
          <w:tcPr>
            <w:tcW w:type="dxa" w:w="636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Bitácora colaborativa por empresa, con hasta cinco usuarios</w:t>
            </w:r>
          </w:p>
        </w:tc>
        <w:tc>
          <w:tcPr>
            <w:tcW w:type="dxa" w:w="3000"/>
            <w:shd w:fill="F7FAFD" w:color="auto" w:val="clear"/>
            <w:tcMar>
              <w:top w:type="dxa" w:w="90"/>
              <w:left w:type="dxa" w:w="130"/>
              <w:bottom w:type="dxa" w:w="90"/>
              <w:right w:type="dxa" w:w="130"/>
            </w:tcMar>
            <w:vAlign w:val="center"/>
          </w:tcPr>
          <w:p>
            <w:pPr>
              <w:spacing w:after="0" w:line="252"/>
              <w:jc w:val="center"/>
            </w:pPr>
            <w:r>
              <w:rPr>
                <w:rFonts w:ascii="Calibri" w:cs="Calibri" w:eastAsia="Calibri" w:hAnsi="Calibri"/>
                <w:b w:val="false"/>
                <w:bCs w:val="false"/>
                <w:color w:val="1A1A1A"/>
                <w:sz w:val="20"/>
                <w:szCs w:val="20"/>
              </w:rPr>
              <w:t xml:space="preserve">Incluido</w:t>
            </w:r>
          </w:p>
        </w:tc>
      </w:tr>
      <w:tr>
        <w:tc>
          <w:tcPr>
            <w:tcW w:type="dxa" w:w="6360"/>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Guardado automático campo por campo, con trabajo sin conexión</w:t>
            </w:r>
          </w:p>
        </w:tc>
        <w:tc>
          <w:tcPr>
            <w:tcW w:type="dxa" w:w="3000"/>
            <w:tcMar>
              <w:top w:type="dxa" w:w="90"/>
              <w:left w:type="dxa" w:w="130"/>
              <w:bottom w:type="dxa" w:w="90"/>
              <w:right w:type="dxa" w:w="130"/>
            </w:tcMar>
            <w:vAlign w:val="center"/>
          </w:tcPr>
          <w:p>
            <w:pPr>
              <w:spacing w:after="0" w:line="252"/>
              <w:jc w:val="center"/>
            </w:pPr>
            <w:r>
              <w:rPr>
                <w:rFonts w:ascii="Calibri" w:cs="Calibri" w:eastAsia="Calibri" w:hAnsi="Calibri"/>
                <w:b w:val="false"/>
                <w:bCs w:val="false"/>
                <w:color w:val="1A1A1A"/>
                <w:sz w:val="20"/>
                <w:szCs w:val="20"/>
              </w:rPr>
              <w:t xml:space="preserve">Incluido</w:t>
            </w:r>
          </w:p>
        </w:tc>
      </w:tr>
      <w:tr>
        <w:tc>
          <w:tcPr>
            <w:tcW w:type="dxa" w:w="636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Aislamiento de la información entre empresas dentro de la base de datos</w:t>
            </w:r>
          </w:p>
        </w:tc>
        <w:tc>
          <w:tcPr>
            <w:tcW w:type="dxa" w:w="3000"/>
            <w:shd w:fill="F7FAFD" w:color="auto" w:val="clear"/>
            <w:tcMar>
              <w:top w:type="dxa" w:w="90"/>
              <w:left w:type="dxa" w:w="130"/>
              <w:bottom w:type="dxa" w:w="90"/>
              <w:right w:type="dxa" w:w="130"/>
            </w:tcMar>
            <w:vAlign w:val="center"/>
          </w:tcPr>
          <w:p>
            <w:pPr>
              <w:spacing w:after="0" w:line="252"/>
              <w:jc w:val="center"/>
            </w:pPr>
            <w:r>
              <w:rPr>
                <w:rFonts w:ascii="Calibri" w:cs="Calibri" w:eastAsia="Calibri" w:hAnsi="Calibri"/>
                <w:b w:val="false"/>
                <w:bCs w:val="false"/>
                <w:color w:val="1A1A1A"/>
                <w:sz w:val="20"/>
                <w:szCs w:val="20"/>
              </w:rPr>
              <w:t xml:space="preserve">Incluido</w:t>
            </w:r>
          </w:p>
        </w:tc>
      </w:tr>
      <w:tr>
        <w:tc>
          <w:tcPr>
            <w:tcW w:type="dxa" w:w="6360"/>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Indicadores de avance, niveles y reconocimiento por taller cumplido</w:t>
            </w:r>
          </w:p>
        </w:tc>
        <w:tc>
          <w:tcPr>
            <w:tcW w:type="dxa" w:w="3000"/>
            <w:tcMar>
              <w:top w:type="dxa" w:w="90"/>
              <w:left w:type="dxa" w:w="130"/>
              <w:bottom w:type="dxa" w:w="90"/>
              <w:right w:type="dxa" w:w="130"/>
            </w:tcMar>
            <w:vAlign w:val="center"/>
          </w:tcPr>
          <w:p>
            <w:pPr>
              <w:spacing w:after="0" w:line="252"/>
              <w:jc w:val="center"/>
            </w:pPr>
            <w:r>
              <w:rPr>
                <w:rFonts w:ascii="Calibri" w:cs="Calibri" w:eastAsia="Calibri" w:hAnsi="Calibri"/>
                <w:b w:val="false"/>
                <w:bCs w:val="false"/>
                <w:color w:val="1A1A1A"/>
                <w:sz w:val="20"/>
                <w:szCs w:val="20"/>
              </w:rPr>
              <w:t xml:space="preserve">Incluido</w:t>
            </w:r>
          </w:p>
        </w:tc>
      </w:tr>
      <w:tr>
        <w:tc>
          <w:tcPr>
            <w:tcW w:type="dxa" w:w="636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Tablero de conclusiones con gráficas por empresa</w:t>
            </w:r>
          </w:p>
        </w:tc>
        <w:tc>
          <w:tcPr>
            <w:tcW w:type="dxa" w:w="3000"/>
            <w:shd w:fill="F7FAFD" w:color="auto" w:val="clear"/>
            <w:tcMar>
              <w:top w:type="dxa" w:w="90"/>
              <w:left w:type="dxa" w:w="130"/>
              <w:bottom w:type="dxa" w:w="90"/>
              <w:right w:type="dxa" w:w="130"/>
            </w:tcMar>
            <w:vAlign w:val="center"/>
          </w:tcPr>
          <w:p>
            <w:pPr>
              <w:spacing w:after="0" w:line="252"/>
              <w:jc w:val="center"/>
            </w:pPr>
            <w:r>
              <w:rPr>
                <w:rFonts w:ascii="Calibri" w:cs="Calibri" w:eastAsia="Calibri" w:hAnsi="Calibri"/>
                <w:b w:val="false"/>
                <w:bCs w:val="false"/>
                <w:color w:val="1A1A1A"/>
                <w:sz w:val="20"/>
                <w:szCs w:val="20"/>
              </w:rPr>
              <w:t xml:space="preserve">Incluido</w:t>
            </w:r>
          </w:p>
        </w:tc>
      </w:tr>
      <w:tr>
        <w:tc>
          <w:tcPr>
            <w:tcW w:type="dxa" w:w="6360"/>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Informe PDF descargable por empresa</w:t>
            </w:r>
          </w:p>
        </w:tc>
        <w:tc>
          <w:tcPr>
            <w:tcW w:type="dxa" w:w="3000"/>
            <w:tcMar>
              <w:top w:type="dxa" w:w="90"/>
              <w:left w:type="dxa" w:w="130"/>
              <w:bottom w:type="dxa" w:w="90"/>
              <w:right w:type="dxa" w:w="130"/>
            </w:tcMar>
            <w:vAlign w:val="center"/>
          </w:tcPr>
          <w:p>
            <w:pPr>
              <w:spacing w:after="0" w:line="252"/>
              <w:jc w:val="center"/>
            </w:pPr>
            <w:r>
              <w:rPr>
                <w:rFonts w:ascii="Calibri" w:cs="Calibri" w:eastAsia="Calibri" w:hAnsi="Calibri"/>
                <w:b w:val="false"/>
                <w:bCs w:val="false"/>
                <w:color w:val="1A1A1A"/>
                <w:sz w:val="20"/>
                <w:szCs w:val="20"/>
              </w:rPr>
              <w:t xml:space="preserve">Incluido</w:t>
            </w:r>
          </w:p>
        </w:tc>
      </w:tr>
      <w:tr>
        <w:tc>
          <w:tcPr>
            <w:tcW w:type="dxa" w:w="636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Registro de dudas por taller y observaciones de los tutores</w:t>
            </w:r>
          </w:p>
        </w:tc>
        <w:tc>
          <w:tcPr>
            <w:tcW w:type="dxa" w:w="3000"/>
            <w:shd w:fill="F7FAFD" w:color="auto" w:val="clear"/>
            <w:tcMar>
              <w:top w:type="dxa" w:w="90"/>
              <w:left w:type="dxa" w:w="130"/>
              <w:bottom w:type="dxa" w:w="90"/>
              <w:right w:type="dxa" w:w="130"/>
            </w:tcMar>
            <w:vAlign w:val="center"/>
          </w:tcPr>
          <w:p>
            <w:pPr>
              <w:spacing w:after="0" w:line="252"/>
              <w:jc w:val="center"/>
            </w:pPr>
            <w:r>
              <w:rPr>
                <w:rFonts w:ascii="Calibri" w:cs="Calibri" w:eastAsia="Calibri" w:hAnsi="Calibri"/>
                <w:b w:val="false"/>
                <w:bCs w:val="false"/>
                <w:color w:val="1A1A1A"/>
                <w:sz w:val="20"/>
                <w:szCs w:val="20"/>
              </w:rPr>
              <w:t xml:space="preserve">Incluido</w:t>
            </w:r>
          </w:p>
        </w:tc>
      </w:tr>
      <w:tr>
        <w:tc>
          <w:tcPr>
            <w:tcW w:type="dxa" w:w="6360"/>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Encuesta de cierre de módulo para medir la percepción del empresario</w:t>
            </w:r>
          </w:p>
        </w:tc>
        <w:tc>
          <w:tcPr>
            <w:tcW w:type="dxa" w:w="3000"/>
            <w:tcMar>
              <w:top w:type="dxa" w:w="90"/>
              <w:left w:type="dxa" w:w="130"/>
              <w:bottom w:type="dxa" w:w="90"/>
              <w:right w:type="dxa" w:w="130"/>
            </w:tcMar>
            <w:vAlign w:val="center"/>
          </w:tcPr>
          <w:p>
            <w:pPr>
              <w:spacing w:after="0" w:line="252"/>
              <w:jc w:val="center"/>
            </w:pPr>
            <w:r>
              <w:rPr>
                <w:rFonts w:ascii="Calibri" w:cs="Calibri" w:eastAsia="Calibri" w:hAnsi="Calibri"/>
                <w:b w:val="false"/>
                <w:bCs w:val="false"/>
                <w:color w:val="1A1A1A"/>
                <w:sz w:val="20"/>
                <w:szCs w:val="20"/>
              </w:rPr>
              <w:t xml:space="preserve">Incluido</w:t>
            </w:r>
          </w:p>
        </w:tc>
      </w:tr>
      <w:tr>
        <w:tc>
          <w:tcPr>
            <w:tcW w:type="dxa" w:w="636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Panel de cohorte para el equipo de la cámara</w:t>
            </w:r>
          </w:p>
        </w:tc>
        <w:tc>
          <w:tcPr>
            <w:tcW w:type="dxa" w:w="3000"/>
            <w:shd w:fill="F7FAFD" w:color="auto" w:val="clear"/>
            <w:tcMar>
              <w:top w:type="dxa" w:w="90"/>
              <w:left w:type="dxa" w:w="130"/>
              <w:bottom w:type="dxa" w:w="90"/>
              <w:right w:type="dxa" w:w="130"/>
            </w:tcMar>
            <w:vAlign w:val="center"/>
          </w:tcPr>
          <w:p>
            <w:pPr>
              <w:spacing w:after="0" w:line="252"/>
              <w:jc w:val="center"/>
            </w:pPr>
            <w:r>
              <w:rPr>
                <w:rFonts w:ascii="Calibri" w:cs="Calibri" w:eastAsia="Calibri" w:hAnsi="Calibri"/>
                <w:b/>
                <w:bCs/>
                <w:color w:val="0C7A6F"/>
                <w:sz w:val="20"/>
                <w:szCs w:val="20"/>
              </w:rPr>
              <w:t xml:space="preserve">Desde la activación</w:t>
            </w:r>
          </w:p>
        </w:tc>
      </w:tr>
      <w:tr>
        <w:tc>
          <w:tcPr>
            <w:tcW w:type="dxa" w:w="6360"/>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Colores y logo de la cámara en toda la plataforma</w:t>
            </w:r>
          </w:p>
        </w:tc>
        <w:tc>
          <w:tcPr>
            <w:tcW w:type="dxa" w:w="3000"/>
            <w:tcMar>
              <w:top w:type="dxa" w:w="90"/>
              <w:left w:type="dxa" w:w="130"/>
              <w:bottom w:type="dxa" w:w="90"/>
              <w:right w:type="dxa" w:w="130"/>
            </w:tcMar>
            <w:vAlign w:val="center"/>
          </w:tcPr>
          <w:p>
            <w:pPr>
              <w:spacing w:after="0" w:line="252"/>
              <w:jc w:val="center"/>
            </w:pPr>
            <w:r>
              <w:rPr>
                <w:rFonts w:ascii="Calibri" w:cs="Calibri" w:eastAsia="Calibri" w:hAnsi="Calibri"/>
                <w:b/>
                <w:bCs/>
                <w:color w:val="0C7A6F"/>
                <w:sz w:val="20"/>
                <w:szCs w:val="20"/>
              </w:rPr>
              <w:t xml:space="preserve">Desde la activación</w:t>
            </w:r>
          </w:p>
        </w:tc>
      </w:tr>
      <w:tr>
        <w:tc>
          <w:tcPr>
            <w:tcW w:type="dxa" w:w="636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Cumplimiento de la Ley 1581 de 2012: autorizaciones versionadas y registro de acceso</w:t>
            </w:r>
          </w:p>
        </w:tc>
        <w:tc>
          <w:tcPr>
            <w:tcW w:type="dxa" w:w="3000"/>
            <w:shd w:fill="F7FAFD" w:color="auto" w:val="clear"/>
            <w:tcMar>
              <w:top w:type="dxa" w:w="90"/>
              <w:left w:type="dxa" w:w="130"/>
              <w:bottom w:type="dxa" w:w="90"/>
              <w:right w:type="dxa" w:w="130"/>
            </w:tcMar>
            <w:vAlign w:val="center"/>
          </w:tcPr>
          <w:p>
            <w:pPr>
              <w:spacing w:after="0" w:line="252"/>
              <w:jc w:val="center"/>
            </w:pPr>
            <w:r>
              <w:rPr>
                <w:rFonts w:ascii="Calibri" w:cs="Calibri" w:eastAsia="Calibri" w:hAnsi="Calibri"/>
                <w:b w:val="false"/>
                <w:bCs w:val="false"/>
                <w:color w:val="1A1A1A"/>
                <w:sz w:val="20"/>
                <w:szCs w:val="20"/>
              </w:rPr>
              <w:t xml:space="preserve">Incluido</w:t>
            </w:r>
          </w:p>
        </w:tc>
      </w:tr>
      <w:tr>
        <w:tc>
          <w:tcPr>
            <w:tcW w:type="dxa" w:w="6360"/>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Soporte por correo en días hábiles y actualizaciones de la plataforma</w:t>
            </w:r>
          </w:p>
        </w:tc>
        <w:tc>
          <w:tcPr>
            <w:tcW w:type="dxa" w:w="3000"/>
            <w:tcMar>
              <w:top w:type="dxa" w:w="90"/>
              <w:left w:type="dxa" w:w="130"/>
              <w:bottom w:type="dxa" w:w="90"/>
              <w:right w:type="dxa" w:w="130"/>
            </w:tcMar>
            <w:vAlign w:val="center"/>
          </w:tcPr>
          <w:p>
            <w:pPr>
              <w:spacing w:after="0" w:line="252"/>
              <w:jc w:val="center"/>
            </w:pPr>
            <w:r>
              <w:rPr>
                <w:rFonts w:ascii="Calibri" w:cs="Calibri" w:eastAsia="Calibri" w:hAnsi="Calibri"/>
                <w:b w:val="false"/>
                <w:bCs w:val="false"/>
                <w:color w:val="1A1A1A"/>
                <w:sz w:val="20"/>
                <w:szCs w:val="20"/>
              </w:rPr>
              <w:t xml:space="preserve">Incluido</w:t>
            </w:r>
          </w:p>
        </w:tc>
      </w:tr>
    </w:tbl>
    <w:p>
      <w:pPr>
        <w:spacing w:after="60" w:before="0" w:line="276"/>
      </w:pPr>
      <w:r>
        <w:rPr>
          <w:rFonts w:ascii="Calibri" w:cs="Calibri" w:eastAsia="Calibri" w:hAnsi="Calibri"/>
          <w:color w:val="1A1A1A"/>
          <w:sz w:val="21"/>
          <w:szCs w:val="21"/>
        </w:rPr>
        <w:t xml:space="preserve"> </w:t>
      </w:r>
    </w:p>
    <w:p>
      <w:pPr>
        <w:pStyle w:val="Heading2"/>
        <w:spacing w:after="110" w:before="260"/>
      </w:pPr>
      <w:r>
        <w:rPr>
          <w:rFonts w:ascii="Calibri" w:cs="Calibri" w:eastAsia="Calibri" w:hAnsi="Calibri"/>
          <w:b/>
          <w:bCs/>
          <w:color w:val="1B6AB5"/>
          <w:sz w:val="24"/>
          <w:szCs w:val="24"/>
        </w:rPr>
        <w:t xml:space="preserve">Lo que no incluye</w:t>
      </w:r>
    </w:p>
    <w:p>
      <w:pPr>
        <w:spacing w:after="140" w:before="0" w:line="276"/>
      </w:pPr>
      <w:r>
        <w:rPr>
          <w:rFonts w:ascii="Calibri" w:cs="Calibri" w:eastAsia="Calibri" w:hAnsi="Calibri"/>
          <w:color w:val="1A1A1A"/>
          <w:sz w:val="21"/>
          <w:szCs w:val="21"/>
        </w:rPr>
        <w:t xml:space="preserve">Dicho con la misma claridad, para que no haya sorpresas en la ejecución:</w:t>
      </w:r>
    </w:p>
    <w:p>
      <w:pPr>
        <w:pStyle w:val="ListParagraph"/>
        <w:numPr>
          <w:ilvl w:val="0"/>
          <w:numId w:val="2"/>
        </w:numPr>
        <w:spacing w:after="70" w:line="264"/>
      </w:pPr>
      <w:r>
        <w:rPr>
          <w:rFonts w:ascii="Calibri" w:cs="Calibri" w:eastAsia="Calibri" w:hAnsi="Calibri"/>
          <w:color w:val="1A1A1A"/>
          <w:sz w:val="21"/>
          <w:szCs w:val="21"/>
        </w:rPr>
        <w:t xml:space="preserve">El contenido del programa: la metodología, los talleres y su redacción los aporta la cámara.</w:t>
      </w:r>
    </w:p>
    <w:p>
      <w:pPr>
        <w:pStyle w:val="ListParagraph"/>
        <w:numPr>
          <w:ilvl w:val="0"/>
          <w:numId w:val="2"/>
        </w:numPr>
        <w:spacing w:after="70" w:line="264"/>
      </w:pPr>
      <w:r>
        <w:rPr>
          <w:rFonts w:ascii="Calibri" w:cs="Calibri" w:eastAsia="Calibri" w:hAnsi="Calibri"/>
          <w:color w:val="1A1A1A"/>
          <w:sz w:val="21"/>
          <w:szCs w:val="21"/>
        </w:rPr>
        <w:t xml:space="preserve">La facilitación de las sesiones y el acompañamiento a las empresas.</w:t>
      </w:r>
    </w:p>
    <w:p>
      <w:pPr>
        <w:pStyle w:val="ListParagraph"/>
        <w:numPr>
          <w:ilvl w:val="0"/>
          <w:numId w:val="2"/>
        </w:numPr>
        <w:spacing w:after="70" w:line="264"/>
      </w:pPr>
      <w:r>
        <w:rPr>
          <w:rFonts w:ascii="Calibri" w:cs="Calibri" w:eastAsia="Calibri" w:hAnsi="Calibri"/>
          <w:color w:val="1A1A1A"/>
          <w:sz w:val="21"/>
          <w:szCs w:val="21"/>
        </w:rPr>
        <w:t xml:space="preserve">Capacitación presencial. La inducción al equipo de la cámara se hace en línea y sí está incluida.</w:t>
      </w:r>
    </w:p>
    <w:p>
      <w:pPr>
        <w:pStyle w:val="ListParagraph"/>
        <w:numPr>
          <w:ilvl w:val="0"/>
          <w:numId w:val="2"/>
        </w:numPr>
        <w:spacing w:after="70" w:line="264"/>
      </w:pPr>
      <w:r>
        <w:rPr>
          <w:rFonts w:ascii="Calibri" w:cs="Calibri" w:eastAsia="Calibri" w:hAnsi="Calibri"/>
          <w:color w:val="1A1A1A"/>
          <w:sz w:val="21"/>
          <w:szCs w:val="21"/>
        </w:rPr>
        <w:t xml:space="preserve">Integraciones con los sistemas de información de la cámara. Se cotizan aparte.</w:t>
      </w:r>
    </w:p>
    <w:p>
      <w:pPr>
        <w:pStyle w:val="Heading1"/>
        <w:pBdr>
          <w:bottom w:val="single" w:color="BBD1E8" w:sz="10" w:space="6"/>
        </w:pBdr>
        <w:spacing w:after="170" w:before="380"/>
      </w:pPr>
      <w:r>
        <w:rPr>
          <w:rFonts w:ascii="Calibri" w:cs="Calibri" w:eastAsia="Calibri" w:hAnsi="Calibri"/>
          <w:b/>
          <w:bCs/>
          <w:color w:val="14497E"/>
          <w:sz w:val="30"/>
          <w:szCs w:val="30"/>
        </w:rPr>
        <w:t xml:space="preserve">5 · Modelo de licenciamiento</w:t>
      </w:r>
    </w:p>
    <w:p>
      <w:pPr>
        <w:spacing w:after="140" w:before="0" w:line="276"/>
      </w:pPr>
      <w:r>
        <w:rPr>
          <w:rFonts w:ascii="Calibri" w:cs="Calibri" w:eastAsia="Calibri" w:hAnsi="Calibri"/>
          <w:color w:val="1A1A1A"/>
          <w:sz w:val="21"/>
          <w:szCs w:val="21"/>
        </w:rPr>
        <w:t xml:space="preserve">El servicio se licencia por usuario activo y mes, en pesos colombianos, mediante un contrato anual.</w:t>
      </w:r>
    </w:p>
    <w:p>
      <w:pPr>
        <w:pStyle w:val="Heading2"/>
        <w:spacing w:after="110" w:before="260"/>
      </w:pPr>
      <w:r>
        <w:rPr>
          <w:rFonts w:ascii="Calibri" w:cs="Calibri" w:eastAsia="Calibri" w:hAnsi="Calibri"/>
          <w:b/>
          <w:bCs/>
          <w:color w:val="1B6AB5"/>
          <w:sz w:val="24"/>
          <w:szCs w:val="24"/>
        </w:rPr>
        <w:t xml:space="preserve">Escalones de precio</w:t>
      </w:r>
    </w:p>
    <w:p>
      <w:pPr>
        <w:spacing w:after="140" w:before="0" w:line="276"/>
      </w:pPr>
      <w:r>
        <w:rPr>
          <w:rFonts w:ascii="Calibri" w:cs="Calibri" w:eastAsia="Calibri" w:hAnsi="Calibri"/>
          <w:color w:val="1A1A1A"/>
          <w:sz w:val="21"/>
          <w:szCs w:val="21"/>
        </w:rPr>
        <w:t xml:space="preserve">El precio funciona por escalones, igual que una tarifa tributaria: cada tramo se cobra únicamente sobre los usuarios que caen dentro de él. Así, ampliar la cohorte siempre reduce el costo promedio por usuario y nunca produce saltos de factura.</w:t>
      </w:r>
    </w:p>
    <w:tbl>
      <w:tblPr>
        <w:tblW w:type="dxa" w:w="9360"/>
        <w:tblBorders>
          <w:top w:val="single" w:color="BBD1E8" w:sz="4"/>
          <w:left w:val="single" w:color="BBD1E8" w:sz="4"/>
          <w:bottom w:val="single" w:color="BBD1E8" w:sz="4"/>
          <w:right w:val="single" w:color="BBD1E8" w:sz="4"/>
          <w:insideH w:val="single" w:color="BBD1E8" w:sz="2"/>
          <w:insideV w:val="single" w:color="BBD1E8" w:sz="2"/>
        </w:tblBorders>
      </w:tblPr>
      <w:tblGrid>
        <w:gridCol w:w="5560"/>
        <w:gridCol w:w="3800"/>
      </w:tblGrid>
      <w:tr>
        <w:trPr>
          <w:tblHeader/>
        </w:trPr>
        <w:tc>
          <w:tcPr>
            <w:tcW w:type="dxa" w:w="5560"/>
            <w:shd w:fill="14497E" w:color="auto" w:val="clear"/>
            <w:tcMar>
              <w:top w:type="dxa" w:w="90"/>
              <w:left w:type="dxa" w:w="130"/>
              <w:bottom w:type="dxa" w:w="90"/>
              <w:right w:type="dxa" w:w="130"/>
            </w:tcMar>
            <w:vAlign w:val="center"/>
          </w:tcPr>
          <w:p>
            <w:pPr>
              <w:spacing w:after="0" w:line="252"/>
              <w:jc w:val="left"/>
            </w:pPr>
            <w:r>
              <w:rPr>
                <w:rFonts w:ascii="Calibri" w:cs="Calibri" w:eastAsia="Calibri" w:hAnsi="Calibri"/>
                <w:b/>
                <w:bCs/>
                <w:color w:val="FFFFFF"/>
                <w:sz w:val="20"/>
                <w:szCs w:val="20"/>
              </w:rPr>
              <w:t xml:space="preserve">Usuarios</w:t>
            </w:r>
          </w:p>
        </w:tc>
        <w:tc>
          <w:tcPr>
            <w:tcW w:type="dxa" w:w="3800"/>
            <w:shd w:fill="14497E" w:color="auto" w:val="clear"/>
            <w:tcMar>
              <w:top w:type="dxa" w:w="90"/>
              <w:left w:type="dxa" w:w="130"/>
              <w:bottom w:type="dxa" w:w="90"/>
              <w:right w:type="dxa" w:w="130"/>
            </w:tcMar>
            <w:vAlign w:val="center"/>
          </w:tcPr>
          <w:p>
            <w:pPr>
              <w:spacing w:after="0" w:line="252"/>
              <w:jc w:val="right"/>
            </w:pPr>
            <w:r>
              <w:rPr>
                <w:rFonts w:ascii="Calibri" w:cs="Calibri" w:eastAsia="Calibri" w:hAnsi="Calibri"/>
                <w:b/>
                <w:bCs/>
                <w:color w:val="FFFFFF"/>
                <w:sz w:val="20"/>
                <w:szCs w:val="20"/>
              </w:rPr>
              <w:t xml:space="preserve">Precio por usuario / mes</w:t>
            </w:r>
          </w:p>
        </w:tc>
      </w:tr>
      <w:tr>
        <w:tc>
          <w:tcPr>
            <w:tcW w:type="dxa" w:w="5560"/>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Del usuario 1 al 100</w:t>
            </w:r>
          </w:p>
        </w:tc>
        <w:tc>
          <w:tcPr>
            <w:tcW w:type="dxa" w:w="3800"/>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$42.000</w:t>
            </w:r>
          </w:p>
        </w:tc>
      </w:tr>
      <w:tr>
        <w:tc>
          <w:tcPr>
            <w:tcW w:type="dxa" w:w="556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Del usuario 101 al 250</w:t>
            </w:r>
          </w:p>
        </w:tc>
        <w:tc>
          <w:tcPr>
            <w:tcW w:type="dxa" w:w="3800"/>
            <w:shd w:fill="F7FAFD" w:color="auto" w:val="clear"/>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$36.000</w:t>
            </w:r>
          </w:p>
        </w:tc>
      </w:tr>
      <w:tr>
        <w:tc>
          <w:tcPr>
            <w:tcW w:type="dxa" w:w="5560"/>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Del usuario 251 al 500</w:t>
            </w:r>
          </w:p>
        </w:tc>
        <w:tc>
          <w:tcPr>
            <w:tcW w:type="dxa" w:w="3800"/>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$30.000</w:t>
            </w:r>
          </w:p>
        </w:tc>
      </w:tr>
      <w:tr>
        <w:tc>
          <w:tcPr>
            <w:tcW w:type="dxa" w:w="556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Del usuario 501 en adelante</w:t>
            </w:r>
          </w:p>
        </w:tc>
        <w:tc>
          <w:tcPr>
            <w:tcW w:type="dxa" w:w="3800"/>
            <w:shd w:fill="F7FAFD" w:color="auto" w:val="clear"/>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$25.000</w:t>
            </w:r>
          </w:p>
        </w:tc>
      </w:tr>
    </w:tbl>
    <w:p>
      <w:pPr>
        <w:spacing w:after="60" w:before="0" w:line="276"/>
      </w:pPr>
      <w:r>
        <w:rPr>
          <w:rFonts w:ascii="Calibri" w:cs="Calibri" w:eastAsia="Calibri" w:hAnsi="Calibri"/>
          <w:color w:val="1A1A1A"/>
          <w:sz w:val="21"/>
          <w:szCs w:val="21"/>
        </w:rPr>
        <w:t xml:space="preserve"> </w:t>
      </w:r>
    </w:p>
    <w:p>
      <w:pPr>
        <w:pStyle w:val="Heading2"/>
        <w:spacing w:after="110" w:before="260"/>
      </w:pPr>
      <w:r>
        <w:rPr>
          <w:rFonts w:ascii="Calibri" w:cs="Calibri" w:eastAsia="Calibri" w:hAnsi="Calibri"/>
          <w:b/>
          <w:bCs/>
          <w:color w:val="1B6AB5"/>
          <w:sz w:val="24"/>
          <w:szCs w:val="24"/>
        </w:rPr>
        <w:t xml:space="preserve">Precio efectivo según el tamaño de la cohorte</w:t>
      </w:r>
    </w:p>
    <w:tbl>
      <w:tblPr>
        <w:tblW w:type="dxa" w:w="9360"/>
        <w:tblBorders>
          <w:top w:val="single" w:color="BBD1E8" w:sz="4"/>
          <w:left w:val="single" w:color="BBD1E8" w:sz="4"/>
          <w:bottom w:val="single" w:color="BBD1E8" w:sz="4"/>
          <w:right w:val="single" w:color="BBD1E8" w:sz="4"/>
          <w:insideH w:val="single" w:color="BBD1E8" w:sz="2"/>
          <w:insideV w:val="single" w:color="BBD1E8" w:sz="2"/>
        </w:tblBorders>
      </w:tblPr>
      <w:tblGrid>
        <w:gridCol w:w="1900"/>
        <w:gridCol w:w="2500"/>
        <w:gridCol w:w="2360"/>
        <w:gridCol w:w="2600"/>
      </w:tblGrid>
      <w:tr>
        <w:trPr>
          <w:tblHeader/>
        </w:trPr>
        <w:tc>
          <w:tcPr>
            <w:tcW w:type="dxa" w:w="1900"/>
            <w:shd w:fill="14497E" w:color="auto" w:val="clear"/>
            <w:tcMar>
              <w:top w:type="dxa" w:w="90"/>
              <w:left w:type="dxa" w:w="130"/>
              <w:bottom w:type="dxa" w:w="90"/>
              <w:right w:type="dxa" w:w="130"/>
            </w:tcMar>
            <w:vAlign w:val="center"/>
          </w:tcPr>
          <w:p>
            <w:pPr>
              <w:spacing w:after="0" w:line="252"/>
              <w:jc w:val="left"/>
            </w:pPr>
            <w:r>
              <w:rPr>
                <w:rFonts w:ascii="Calibri" w:cs="Calibri" w:eastAsia="Calibri" w:hAnsi="Calibri"/>
                <w:b/>
                <w:bCs/>
                <w:color w:val="FFFFFF"/>
                <w:sz w:val="20"/>
                <w:szCs w:val="20"/>
              </w:rPr>
              <w:t xml:space="preserve">Usuarios</w:t>
            </w:r>
          </w:p>
        </w:tc>
        <w:tc>
          <w:tcPr>
            <w:tcW w:type="dxa" w:w="2500"/>
            <w:shd w:fill="14497E" w:color="auto" w:val="clear"/>
            <w:tcMar>
              <w:top w:type="dxa" w:w="90"/>
              <w:left w:type="dxa" w:w="130"/>
              <w:bottom w:type="dxa" w:w="90"/>
              <w:right w:type="dxa" w:w="130"/>
            </w:tcMar>
            <w:vAlign w:val="center"/>
          </w:tcPr>
          <w:p>
            <w:pPr>
              <w:spacing w:after="0" w:line="252"/>
              <w:jc w:val="right"/>
            </w:pPr>
            <w:r>
              <w:rPr>
                <w:rFonts w:ascii="Calibri" w:cs="Calibri" w:eastAsia="Calibri" w:hAnsi="Calibri"/>
                <w:b/>
                <w:bCs/>
                <w:color w:val="FFFFFF"/>
                <w:sz w:val="20"/>
                <w:szCs w:val="20"/>
              </w:rPr>
              <w:t xml:space="preserve">Valor mensual</w:t>
            </w:r>
          </w:p>
        </w:tc>
        <w:tc>
          <w:tcPr>
            <w:tcW w:type="dxa" w:w="2360"/>
            <w:shd w:fill="14497E" w:color="auto" w:val="clear"/>
            <w:tcMar>
              <w:top w:type="dxa" w:w="90"/>
              <w:left w:type="dxa" w:w="130"/>
              <w:bottom w:type="dxa" w:w="90"/>
              <w:right w:type="dxa" w:w="130"/>
            </w:tcMar>
            <w:vAlign w:val="center"/>
          </w:tcPr>
          <w:p>
            <w:pPr>
              <w:spacing w:after="0" w:line="252"/>
              <w:jc w:val="right"/>
            </w:pPr>
            <w:r>
              <w:rPr>
                <w:rFonts w:ascii="Calibri" w:cs="Calibri" w:eastAsia="Calibri" w:hAnsi="Calibri"/>
                <w:b/>
                <w:bCs/>
                <w:color w:val="FFFFFF"/>
                <w:sz w:val="20"/>
                <w:szCs w:val="20"/>
              </w:rPr>
              <w:t xml:space="preserve">Promedio por usuario</w:t>
            </w:r>
          </w:p>
        </w:tc>
        <w:tc>
          <w:tcPr>
            <w:tcW w:type="dxa" w:w="2600"/>
            <w:shd w:fill="14497E" w:color="auto" w:val="clear"/>
            <w:tcMar>
              <w:top w:type="dxa" w:w="90"/>
              <w:left w:type="dxa" w:w="130"/>
              <w:bottom w:type="dxa" w:w="90"/>
              <w:right w:type="dxa" w:w="130"/>
            </w:tcMar>
            <w:vAlign w:val="center"/>
          </w:tcPr>
          <w:p>
            <w:pPr>
              <w:spacing w:after="0" w:line="252"/>
              <w:jc w:val="right"/>
            </w:pPr>
            <w:r>
              <w:rPr>
                <w:rFonts w:ascii="Calibri" w:cs="Calibri" w:eastAsia="Calibri" w:hAnsi="Calibri"/>
                <w:b/>
                <w:bCs/>
                <w:color w:val="FFFFFF"/>
                <w:sz w:val="20"/>
                <w:szCs w:val="20"/>
              </w:rPr>
              <w:t xml:space="preserve">Valor anual</w:t>
            </w:r>
          </w:p>
        </w:tc>
      </w:tr>
      <w:tr>
        <w:tc>
          <w:tcPr>
            <w:tcW w:type="dxa" w:w="1900"/>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50</w:t>
            </w:r>
          </w:p>
        </w:tc>
        <w:tc>
          <w:tcPr>
            <w:tcW w:type="dxa" w:w="2500"/>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$2.100.000</w:t>
            </w:r>
          </w:p>
        </w:tc>
        <w:tc>
          <w:tcPr>
            <w:tcW w:type="dxa" w:w="2360"/>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$42.000</w:t>
            </w:r>
          </w:p>
        </w:tc>
        <w:tc>
          <w:tcPr>
            <w:tcW w:type="dxa" w:w="2600"/>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$25.200.000</w:t>
            </w:r>
          </w:p>
        </w:tc>
      </w:tr>
      <w:tr>
        <w:tc>
          <w:tcPr>
            <w:tcW w:type="dxa" w:w="190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90</w:t>
            </w:r>
          </w:p>
        </w:tc>
        <w:tc>
          <w:tcPr>
            <w:tcW w:type="dxa" w:w="2500"/>
            <w:shd w:fill="F7FAFD" w:color="auto" w:val="clear"/>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$3.780.000</w:t>
            </w:r>
          </w:p>
        </w:tc>
        <w:tc>
          <w:tcPr>
            <w:tcW w:type="dxa" w:w="2360"/>
            <w:shd w:fill="F7FAFD" w:color="auto" w:val="clear"/>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$42.000</w:t>
            </w:r>
          </w:p>
        </w:tc>
        <w:tc>
          <w:tcPr>
            <w:tcW w:type="dxa" w:w="2600"/>
            <w:shd w:fill="F7FAFD" w:color="auto" w:val="clear"/>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$45.360.000</w:t>
            </w:r>
          </w:p>
        </w:tc>
      </w:tr>
      <w:tr>
        <w:tc>
          <w:tcPr>
            <w:tcW w:type="dxa" w:w="1900"/>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150</w:t>
            </w:r>
          </w:p>
        </w:tc>
        <w:tc>
          <w:tcPr>
            <w:tcW w:type="dxa" w:w="2500"/>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$6.000.000</w:t>
            </w:r>
          </w:p>
        </w:tc>
        <w:tc>
          <w:tcPr>
            <w:tcW w:type="dxa" w:w="2360"/>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$40.000</w:t>
            </w:r>
          </w:p>
        </w:tc>
        <w:tc>
          <w:tcPr>
            <w:tcW w:type="dxa" w:w="2600"/>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$72.000.000</w:t>
            </w:r>
          </w:p>
        </w:tc>
      </w:tr>
      <w:tr>
        <w:tc>
          <w:tcPr>
            <w:tcW w:type="dxa" w:w="190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250</w:t>
            </w:r>
          </w:p>
        </w:tc>
        <w:tc>
          <w:tcPr>
            <w:tcW w:type="dxa" w:w="2500"/>
            <w:shd w:fill="F7FAFD" w:color="auto" w:val="clear"/>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$9.600.000</w:t>
            </w:r>
          </w:p>
        </w:tc>
        <w:tc>
          <w:tcPr>
            <w:tcW w:type="dxa" w:w="2360"/>
            <w:shd w:fill="F7FAFD" w:color="auto" w:val="clear"/>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$38.400</w:t>
            </w:r>
          </w:p>
        </w:tc>
        <w:tc>
          <w:tcPr>
            <w:tcW w:type="dxa" w:w="2600"/>
            <w:shd w:fill="F7FAFD" w:color="auto" w:val="clear"/>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$115.200.000</w:t>
            </w:r>
          </w:p>
        </w:tc>
      </w:tr>
      <w:tr>
        <w:tc>
          <w:tcPr>
            <w:tcW w:type="dxa" w:w="1900"/>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500</w:t>
            </w:r>
          </w:p>
        </w:tc>
        <w:tc>
          <w:tcPr>
            <w:tcW w:type="dxa" w:w="2500"/>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$17.100.000</w:t>
            </w:r>
          </w:p>
        </w:tc>
        <w:tc>
          <w:tcPr>
            <w:tcW w:type="dxa" w:w="2360"/>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$34.200</w:t>
            </w:r>
          </w:p>
        </w:tc>
        <w:tc>
          <w:tcPr>
            <w:tcW w:type="dxa" w:w="2600"/>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$205.200.000</w:t>
            </w:r>
          </w:p>
        </w:tc>
      </w:tr>
    </w:tbl>
    <w:p>
      <w:pPr>
        <w:spacing w:after="140" w:before="90" w:line="276"/>
      </w:pPr>
      <w:r>
        <w:rPr>
          <w:rFonts w:ascii="Calibri" w:cs="Calibri" w:eastAsia="Calibri" w:hAnsi="Calibri"/>
          <w:i/>
          <w:iCs/>
          <w:color w:val="5A6470"/>
          <w:sz w:val="19"/>
          <w:szCs w:val="19"/>
        </w:rPr>
        <w:t xml:space="preserve">Todos los valores son antes de IVA del 19 %.</w:t>
      </w:r>
    </w:p>
    <w:p>
      <w:pPr>
        <w:pStyle w:val="Heading2"/>
        <w:spacing w:after="110" w:before="260"/>
      </w:pPr>
      <w:r>
        <w:rPr>
          <w:rFonts w:ascii="Calibri" w:cs="Calibri" w:eastAsia="Calibri" w:hAnsi="Calibri"/>
          <w:b/>
          <w:bCs/>
          <w:color w:val="1B6AB5"/>
          <w:sz w:val="24"/>
          <w:szCs w:val="24"/>
        </w:rPr>
        <w:t xml:space="preserve">Reglas del modelo</w:t>
      </w:r>
    </w:p>
    <w:p>
      <w:pPr>
        <w:pStyle w:val="ListParagraph"/>
        <w:numPr>
          <w:ilvl w:val="0"/>
          <w:numId w:val="2"/>
        </w:numPr>
        <w:spacing w:after="70" w:line="264"/>
      </w:pPr>
      <w:r>
        <w:rPr>
          <w:rFonts w:ascii="Calibri" w:cs="Calibri" w:eastAsia="Calibri" w:hAnsi="Calibri"/>
          <w:b/>
          <w:bCs/>
          <w:color w:val="1A1A1A"/>
          <w:sz w:val="21"/>
          <w:szCs w:val="21"/>
        </w:rPr>
        <w:t xml:space="preserve">Mínimo facturable: </w:t>
      </w:r>
      <w:r>
        <w:rPr>
          <w:rFonts w:ascii="Calibri" w:cs="Calibri" w:eastAsia="Calibri" w:hAnsi="Calibri"/>
          <w:color w:val="1A1A1A"/>
          <w:sz w:val="21"/>
          <w:szCs w:val="21"/>
        </w:rPr>
        <w:t xml:space="preserve">50 usuarios por contrato, aunque la cámara active menos. Por debajo de ese número el servicio no se sostiene.</w:t>
      </w:r>
    </w:p>
    <w:p>
      <w:pPr>
        <w:pStyle w:val="ListParagraph"/>
        <w:numPr>
          <w:ilvl w:val="0"/>
          <w:numId w:val="2"/>
        </w:numPr>
        <w:spacing w:after="70" w:line="264"/>
      </w:pPr>
      <w:r>
        <w:rPr>
          <w:rFonts w:ascii="Calibri" w:cs="Calibri" w:eastAsia="Calibri" w:hAnsi="Calibri"/>
          <w:b/>
          <w:bCs/>
          <w:color w:val="1A1A1A"/>
          <w:sz w:val="21"/>
          <w:szCs w:val="21"/>
        </w:rPr>
        <w:t xml:space="preserve">Máximo por empresa: </w:t>
      </w:r>
      <w:r>
        <w:rPr>
          <w:rFonts w:ascii="Calibri" w:cs="Calibri" w:eastAsia="Calibri" w:hAnsi="Calibri"/>
          <w:color w:val="1A1A1A"/>
          <w:sz w:val="21"/>
          <w:szCs w:val="21"/>
        </w:rPr>
        <w:t xml:space="preserve">5 usuarios (un propietario y cuatro miembros). El programa trabaja con el equipo directivo, y el tope evita que unas pocas empresas agoten los cupos de toda la cohorte. Usuarios adicionales para una empresa se facturan al precio del escalón vigente.</w:t>
      </w:r>
    </w:p>
    <w:p>
      <w:pPr>
        <w:pStyle w:val="ListParagraph"/>
        <w:numPr>
          <w:ilvl w:val="0"/>
          <w:numId w:val="2"/>
        </w:numPr>
        <w:spacing w:after="70" w:line="264"/>
      </w:pPr>
      <w:r>
        <w:rPr>
          <w:rFonts w:ascii="Calibri" w:cs="Calibri" w:eastAsia="Calibri" w:hAnsi="Calibri"/>
          <w:b/>
          <w:bCs/>
          <w:color w:val="1A1A1A"/>
          <w:sz w:val="21"/>
          <w:szCs w:val="21"/>
        </w:rPr>
        <w:t xml:space="preserve">Usuario activo: </w:t>
      </w:r>
      <w:r>
        <w:rPr>
          <w:rFonts w:ascii="Calibri" w:cs="Calibri" w:eastAsia="Calibri" w:hAnsi="Calibri"/>
          <w:color w:val="1A1A1A"/>
          <w:sz w:val="21"/>
          <w:szCs w:val="21"/>
        </w:rPr>
        <w:t xml:space="preserve">persona con cuenta habilitada durante el mes. Las cuentas que la cámara desactive dejan de facturarse en el corte siguiente.</w:t>
      </w:r>
    </w:p>
    <w:p>
      <w:pPr>
        <w:pStyle w:val="ListParagraph"/>
        <w:numPr>
          <w:ilvl w:val="0"/>
          <w:numId w:val="2"/>
        </w:numPr>
        <w:spacing w:after="70" w:line="264"/>
      </w:pPr>
      <w:r>
        <w:rPr>
          <w:rFonts w:ascii="Calibri" w:cs="Calibri" w:eastAsia="Calibri" w:hAnsi="Calibri"/>
          <w:b/>
          <w:bCs/>
          <w:color w:val="1A1A1A"/>
          <w:sz w:val="21"/>
          <w:szCs w:val="21"/>
        </w:rPr>
        <w:t xml:space="preserve">Implementación: </w:t>
      </w:r>
      <w:r>
        <w:rPr>
          <w:rFonts w:ascii="Calibri" w:cs="Calibri" w:eastAsia="Calibri" w:hAnsi="Calibri"/>
          <w:color w:val="1A1A1A"/>
          <w:sz w:val="21"/>
          <w:szCs w:val="21"/>
        </w:rPr>
        <w:t xml:space="preserve">$350.000 por taller configurado, con un mínimo de $5.000.000. Es un pago único que cubre la conversión del contenido, la marca de la cámara y la carga de la primera cohorte.</w:t>
      </w:r>
    </w:p>
    <w:p>
      <w:pPr>
        <w:pStyle w:val="Heading1"/>
        <w:pBdr>
          <w:bottom w:val="single" w:color="BBD1E8" w:sz="10" w:space="6"/>
        </w:pBdr>
        <w:spacing w:after="170" w:before="380"/>
      </w:pPr>
      <w:r>
        <w:rPr>
          <w:rFonts w:ascii="Calibri" w:cs="Calibri" w:eastAsia="Calibri" w:hAnsi="Calibri"/>
          <w:b/>
          <w:bCs/>
          <w:color w:val="14497E"/>
          <w:sz w:val="30"/>
          <w:szCs w:val="30"/>
        </w:rPr>
        <w:t xml:space="preserve">6 · Inversión</w:t>
      </w:r>
    </w:p>
    <w:p>
      <w:pPr>
        <w:spacing w:after="140" w:before="0" w:line="276"/>
      </w:pPr>
      <w:r>
        <w:rPr>
          <w:rFonts w:ascii="Calibri" w:cs="Calibri" w:eastAsia="Calibri" w:hAnsi="Calibri"/>
          <w:color w:val="1A1A1A"/>
          <w:sz w:val="21"/>
          <w:szCs w:val="21"/>
        </w:rPr>
        <w:t xml:space="preserve">El siguiente cálculo corresponde a una cohorte de [N.º DE EMPRESAS] empresas con [N.º DE USUARIOS] usuarios y un programa de [N.º DE TALLERES] talleres. Reemplace estas cifras por las de su convocatoria.</w:t>
      </w:r>
    </w:p>
    <w:tbl>
      <w:tblPr>
        <w:tblW w:type="dxa" w:w="9360"/>
        <w:tblBorders>
          <w:top w:val="single" w:color="BBD1E8" w:sz="4"/>
          <w:left w:val="single" w:color="BBD1E8" w:sz="4"/>
          <w:bottom w:val="single" w:color="BBD1E8" w:sz="4"/>
          <w:right w:val="single" w:color="BBD1E8" w:sz="4"/>
          <w:insideH w:val="single" w:color="BBD1E8" w:sz="2"/>
          <w:insideV w:val="single" w:color="BBD1E8" w:sz="2"/>
        </w:tblBorders>
      </w:tblPr>
      <w:tblGrid>
        <w:gridCol w:w="5560"/>
        <w:gridCol w:w="3800"/>
      </w:tblGrid>
      <w:tr>
        <w:trPr>
          <w:tblHeader/>
        </w:trPr>
        <w:tc>
          <w:tcPr>
            <w:tcW w:type="dxa" w:w="5560"/>
            <w:shd w:fill="14497E" w:color="auto" w:val="clear"/>
            <w:tcMar>
              <w:top w:type="dxa" w:w="90"/>
              <w:left w:type="dxa" w:w="130"/>
              <w:bottom w:type="dxa" w:w="90"/>
              <w:right w:type="dxa" w:w="130"/>
            </w:tcMar>
            <w:vAlign w:val="center"/>
          </w:tcPr>
          <w:p>
            <w:pPr>
              <w:spacing w:after="0" w:line="252"/>
              <w:jc w:val="left"/>
            </w:pPr>
            <w:r>
              <w:rPr>
                <w:rFonts w:ascii="Calibri" w:cs="Calibri" w:eastAsia="Calibri" w:hAnsi="Calibri"/>
                <w:b/>
                <w:bCs/>
                <w:color w:val="FFFFFF"/>
                <w:sz w:val="20"/>
                <w:szCs w:val="20"/>
              </w:rPr>
              <w:t xml:space="preserve">Concepto</w:t>
            </w:r>
          </w:p>
        </w:tc>
        <w:tc>
          <w:tcPr>
            <w:tcW w:type="dxa" w:w="3800"/>
            <w:shd w:fill="14497E" w:color="auto" w:val="clear"/>
            <w:tcMar>
              <w:top w:type="dxa" w:w="90"/>
              <w:left w:type="dxa" w:w="130"/>
              <w:bottom w:type="dxa" w:w="90"/>
              <w:right w:type="dxa" w:w="130"/>
            </w:tcMar>
            <w:vAlign w:val="center"/>
          </w:tcPr>
          <w:p>
            <w:pPr>
              <w:spacing w:after="0" w:line="252"/>
              <w:jc w:val="right"/>
            </w:pPr>
            <w:r>
              <w:rPr>
                <w:rFonts w:ascii="Calibri" w:cs="Calibri" w:eastAsia="Calibri" w:hAnsi="Calibri"/>
                <w:b/>
                <w:bCs/>
                <w:color w:val="FFFFFF"/>
                <w:sz w:val="20"/>
                <w:szCs w:val="20"/>
              </w:rPr>
              <w:t xml:space="preserve">Valor (COP)</w:t>
            </w:r>
          </w:p>
        </w:tc>
      </w:tr>
      <w:tr>
        <w:tc>
          <w:tcPr>
            <w:tcW w:type="dxa" w:w="5560"/>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Implementación · 20 talleres configurados, pago único</w:t>
            </w:r>
          </w:p>
        </w:tc>
        <w:tc>
          <w:tcPr>
            <w:tcW w:type="dxa" w:w="3800"/>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$7.000.000</w:t>
            </w:r>
          </w:p>
        </w:tc>
      </w:tr>
      <w:tr>
        <w:tc>
          <w:tcPr>
            <w:tcW w:type="dxa" w:w="556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Suscripción año 1 · 90 usuarios durante 12 meses</w:t>
            </w:r>
          </w:p>
        </w:tc>
        <w:tc>
          <w:tcPr>
            <w:tcW w:type="dxa" w:w="3800"/>
            <w:shd w:fill="F7FAFD" w:color="auto" w:val="clear"/>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$45.360.000</w:t>
            </w:r>
          </w:p>
        </w:tc>
      </w:tr>
      <w:tr>
        <w:tc>
          <w:tcPr>
            <w:tcW w:type="dxa" w:w="5560"/>
            <w:shd w:fill="E9F0F8" w:color="auto" w:val="clear"/>
            <w:tcMar>
              <w:top w:type="dxa" w:w="90"/>
              <w:left w:type="dxa" w:w="130"/>
              <w:bottom w:type="dxa" w:w="90"/>
              <w:right w:type="dxa" w:w="130"/>
            </w:tcMar>
            <w:vAlign w:val="center"/>
          </w:tcPr>
          <w:p>
            <w:pPr>
              <w:spacing w:after="0" w:line="252"/>
              <w:jc w:val="left"/>
            </w:pPr>
            <w:r>
              <w:rPr>
                <w:rFonts w:ascii="Calibri" w:cs="Calibri" w:eastAsia="Calibri" w:hAnsi="Calibri"/>
                <w:b/>
                <w:bCs/>
                <w:color w:val="1A1A1A"/>
                <w:sz w:val="20"/>
                <w:szCs w:val="20"/>
              </w:rPr>
              <w:t xml:space="preserve">Subtotal año 1, antes de IVA</w:t>
            </w:r>
          </w:p>
        </w:tc>
        <w:tc>
          <w:tcPr>
            <w:tcW w:type="dxa" w:w="3800"/>
            <w:shd w:fill="E9F0F8" w:color="auto" w:val="clear"/>
            <w:tcMar>
              <w:top w:type="dxa" w:w="90"/>
              <w:left w:type="dxa" w:w="130"/>
              <w:bottom w:type="dxa" w:w="90"/>
              <w:right w:type="dxa" w:w="130"/>
            </w:tcMar>
            <w:vAlign w:val="center"/>
          </w:tcPr>
          <w:p>
            <w:pPr>
              <w:spacing w:after="0" w:line="252"/>
              <w:jc w:val="right"/>
            </w:pPr>
            <w:r>
              <w:rPr>
                <w:rFonts w:ascii="Calibri" w:cs="Calibri" w:eastAsia="Calibri" w:hAnsi="Calibri"/>
                <w:b/>
                <w:bCs/>
                <w:color w:val="1A1A1A"/>
                <w:sz w:val="20"/>
                <w:szCs w:val="20"/>
              </w:rPr>
              <w:t xml:space="preserve">$52.360.000</w:t>
            </w:r>
          </w:p>
        </w:tc>
      </w:tr>
      <w:tr>
        <w:tc>
          <w:tcPr>
            <w:tcW w:type="dxa" w:w="556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IVA 19 %</w:t>
            </w:r>
          </w:p>
        </w:tc>
        <w:tc>
          <w:tcPr>
            <w:tcW w:type="dxa" w:w="3800"/>
            <w:shd w:fill="F7FAFD" w:color="auto" w:val="clear"/>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$9.948.400</w:t>
            </w:r>
          </w:p>
        </w:tc>
      </w:tr>
      <w:tr>
        <w:tc>
          <w:tcPr>
            <w:tcW w:type="dxa" w:w="5560"/>
            <w:shd w:fill="E9F0F8" w:color="auto" w:val="clear"/>
            <w:tcMar>
              <w:top w:type="dxa" w:w="90"/>
              <w:left w:type="dxa" w:w="130"/>
              <w:bottom w:type="dxa" w:w="90"/>
              <w:right w:type="dxa" w:w="130"/>
            </w:tcMar>
            <w:vAlign w:val="center"/>
          </w:tcPr>
          <w:p>
            <w:pPr>
              <w:spacing w:after="0" w:line="252"/>
              <w:jc w:val="left"/>
            </w:pPr>
            <w:r>
              <w:rPr>
                <w:rFonts w:ascii="Calibri" w:cs="Calibri" w:eastAsia="Calibri" w:hAnsi="Calibri"/>
                <w:b/>
                <w:bCs/>
                <w:color w:val="1A1A1A"/>
                <w:sz w:val="20"/>
                <w:szCs w:val="20"/>
              </w:rPr>
              <w:t xml:space="preserve">TOTAL AÑO 1</w:t>
            </w:r>
          </w:p>
        </w:tc>
        <w:tc>
          <w:tcPr>
            <w:tcW w:type="dxa" w:w="3800"/>
            <w:shd w:fill="E9F0F8" w:color="auto" w:val="clear"/>
            <w:tcMar>
              <w:top w:type="dxa" w:w="90"/>
              <w:left w:type="dxa" w:w="130"/>
              <w:bottom w:type="dxa" w:w="90"/>
              <w:right w:type="dxa" w:w="130"/>
            </w:tcMar>
            <w:vAlign w:val="center"/>
          </w:tcPr>
          <w:p>
            <w:pPr>
              <w:spacing w:after="0" w:line="252"/>
              <w:jc w:val="right"/>
            </w:pPr>
            <w:r>
              <w:rPr>
                <w:rFonts w:ascii="Calibri" w:cs="Calibri" w:eastAsia="Calibri" w:hAnsi="Calibri"/>
                <w:b/>
                <w:bCs/>
                <w:color w:val="1A1A1A"/>
                <w:sz w:val="20"/>
                <w:szCs w:val="20"/>
              </w:rPr>
              <w:t xml:space="preserve">$62.308.400</w:t>
            </w:r>
          </w:p>
        </w:tc>
      </w:tr>
      <w:tr>
        <w:tc>
          <w:tcPr>
            <w:tcW w:type="dxa" w:w="556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Años siguientes · suscripción anual, antes de IVA</w:t>
            </w:r>
          </w:p>
        </w:tc>
        <w:tc>
          <w:tcPr>
            <w:tcW w:type="dxa" w:w="3800"/>
            <w:shd w:fill="F7FAFD" w:color="auto" w:val="clear"/>
            <w:tcMar>
              <w:top w:type="dxa" w:w="90"/>
              <w:left w:type="dxa" w:w="130"/>
              <w:bottom w:type="dxa" w:w="90"/>
              <w:right w:type="dxa" w:w="130"/>
            </w:tcMar>
            <w:vAlign w:val="center"/>
          </w:tcPr>
          <w:p>
            <w:pPr>
              <w:spacing w:after="0" w:line="252"/>
              <w:jc w:val="right"/>
            </w:pPr>
            <w:r>
              <w:rPr>
                <w:rFonts w:ascii="Calibri" w:cs="Calibri" w:eastAsia="Calibri" w:hAnsi="Calibri"/>
                <w:b w:val="function bold() { [native code] }"/>
                <w:bCs w:val="function bold() { [native code] }"/>
                <w:color w:val="1A1A1A"/>
                <w:sz w:val="20"/>
                <w:szCs w:val="20"/>
              </w:rPr>
              <w:t xml:space="preserve">$45.360.000 + IPC</w:t>
            </w:r>
          </w:p>
        </w:tc>
      </w:tr>
    </w:tbl>
    <w:p>
      <w:pPr>
        <w:spacing w:after="60" w:before="0" w:line="276"/>
      </w:pPr>
      <w:r>
        <w:rPr>
          <w:rFonts w:ascii="Calibri" w:cs="Calibri" w:eastAsia="Calibri" w:hAnsi="Calibri"/>
          <w:color w:val="1A1A1A"/>
          <w:sz w:val="21"/>
          <w:szCs w:val="21"/>
        </w:rPr>
        <w:t xml:space="preserve"> </w:t>
      </w:r>
    </w:p>
    <w:p>
      <w:pPr>
        <w:pBdr>
          <w:top w:val="single" w:color="E9F0F8" w:sz="2" w:space="8"/>
          <w:bottom w:val="single" w:color="E9F0F8" w:sz="2" w:space="8"/>
          <w:left w:val="single" w:color="14497E" w:sz="18" w:space="10"/>
        </w:pBdr>
        <w:shd w:fill="E9F0F8" w:color="auto" w:val="clear"/>
        <w:spacing w:after="180" w:before="150" w:line="270"/>
        <w:ind w:left="150" w:right="150"/>
      </w:pPr>
      <w:r>
        <w:rPr>
          <w:rFonts w:ascii="Calibri" w:cs="Calibri" w:eastAsia="Calibri" w:hAnsi="Calibri"/>
          <w:b/>
          <w:bCs/>
          <w:color w:val="1A1A1A"/>
          <w:sz w:val="21"/>
          <w:szCs w:val="21"/>
        </w:rPr>
        <w:t xml:space="preserve">La implementación se paga una sola vez. </w:t>
      </w:r>
      <w:r>
        <w:rPr>
          <w:rFonts w:ascii="Calibri" w:cs="Calibri" w:eastAsia="Calibri" w:hAnsi="Calibri"/>
          <w:color w:val="1A1A1A"/>
          <w:sz w:val="21"/>
          <w:szCs w:val="21"/>
        </w:rPr>
        <w:t xml:space="preserve">A partir del segundo año la cámara solo paga la suscripción, ajustada por el IPC. Agregar un módulo nuevo al programa se cotiza al mismo valor por taller.</w:t>
      </w:r>
    </w:p>
    <w:p>
      <w:pPr>
        <w:pStyle w:val="Heading2"/>
        <w:spacing w:after="110" w:before="260"/>
      </w:pPr>
      <w:r>
        <w:rPr>
          <w:rFonts w:ascii="Calibri" w:cs="Calibri" w:eastAsia="Calibri" w:hAnsi="Calibri"/>
          <w:b/>
          <w:bCs/>
          <w:color w:val="1B6AB5"/>
          <w:sz w:val="24"/>
          <w:szCs w:val="24"/>
        </w:rPr>
        <w:t xml:space="preserve">Forma de pago propuesta</w:t>
      </w:r>
    </w:p>
    <w:p>
      <w:pPr>
        <w:pStyle w:val="ListParagraph"/>
        <w:numPr>
          <w:ilvl w:val="0"/>
          <w:numId w:val="2"/>
        </w:numPr>
        <w:spacing w:after="70" w:line="264"/>
      </w:pPr>
      <w:r>
        <w:rPr>
          <w:rFonts w:ascii="Calibri" w:cs="Calibri" w:eastAsia="Calibri" w:hAnsi="Calibri"/>
          <w:color w:val="1A1A1A"/>
          <w:sz w:val="21"/>
          <w:szCs w:val="21"/>
        </w:rPr>
        <w:t xml:space="preserve">Implementación: 50 % a la firma y 50 % contra la entrega de la plataforma configurada.</w:t>
      </w:r>
    </w:p>
    <w:p>
      <w:pPr>
        <w:pStyle w:val="ListParagraph"/>
        <w:numPr>
          <w:ilvl w:val="0"/>
          <w:numId w:val="2"/>
        </w:numPr>
        <w:spacing w:after="70" w:line="264"/>
      </w:pPr>
      <w:r>
        <w:rPr>
          <w:rFonts w:ascii="Calibri" w:cs="Calibri" w:eastAsia="Calibri" w:hAnsi="Calibri"/>
          <w:color w:val="1A1A1A"/>
          <w:sz w:val="21"/>
          <w:szCs w:val="21"/>
        </w:rPr>
        <w:t xml:space="preserve">Suscripción: facturación mensual, o anual anticipada con un 5 % de descuento.</w:t>
      </w:r>
    </w:p>
    <w:p>
      <w:pPr>
        <w:pStyle w:val="ListParagraph"/>
        <w:numPr>
          <w:ilvl w:val="0"/>
          <w:numId w:val="2"/>
        </w:numPr>
        <w:spacing w:after="70" w:line="264"/>
      </w:pPr>
      <w:r>
        <w:rPr>
          <w:rFonts w:ascii="Calibri" w:cs="Calibri" w:eastAsia="Calibri" w:hAnsi="Calibri"/>
          <w:color w:val="1A1A1A"/>
          <w:sz w:val="21"/>
          <w:szCs w:val="21"/>
        </w:rPr>
        <w:t xml:space="preserve">Plazo de pago: 30 días calendario desde la radicación de la factura.</w:t>
      </w:r>
    </w:p>
    <w:p>
      <w:pPr>
        <w:pStyle w:val="Heading1"/>
        <w:pBdr>
          <w:bottom w:val="single" w:color="BBD1E8" w:sz="10" w:space="6"/>
        </w:pBdr>
        <w:spacing w:after="170" w:before="380"/>
      </w:pPr>
      <w:r>
        <w:rPr>
          <w:rFonts w:ascii="Calibri" w:cs="Calibri" w:eastAsia="Calibri" w:hAnsi="Calibri"/>
          <w:b/>
          <w:bCs/>
          <w:color w:val="14497E"/>
          <w:sz w:val="30"/>
          <w:szCs w:val="30"/>
        </w:rPr>
        <w:t xml:space="preserve">7 · Condiciones comerciales</w:t>
      </w:r>
    </w:p>
    <w:tbl>
      <w:tblPr>
        <w:tblW w:type="dxa" w:w="9360"/>
        <w:tblBorders>
          <w:top w:val="single" w:color="BBD1E8" w:sz="4"/>
          <w:left w:val="single" w:color="BBD1E8" w:sz="4"/>
          <w:bottom w:val="single" w:color="BBD1E8" w:sz="4"/>
          <w:right w:val="single" w:color="BBD1E8" w:sz="4"/>
          <w:insideH w:val="single" w:color="BBD1E8" w:sz="2"/>
          <w:insideV w:val="single" w:color="BBD1E8" w:sz="2"/>
        </w:tblBorders>
      </w:tblPr>
      <w:tblGrid>
        <w:gridCol w:w="2900"/>
        <w:gridCol w:w="6460"/>
      </w:tblGrid>
      <w:tr>
        <w:trPr>
          <w:tblHeader/>
        </w:trPr>
        <w:tc>
          <w:tcPr>
            <w:tcW w:type="dxa" w:w="2900"/>
            <w:shd w:fill="14497E" w:color="auto" w:val="clear"/>
            <w:tcMar>
              <w:top w:type="dxa" w:w="90"/>
              <w:left w:type="dxa" w:w="130"/>
              <w:bottom w:type="dxa" w:w="90"/>
              <w:right w:type="dxa" w:w="130"/>
            </w:tcMar>
            <w:vAlign w:val="center"/>
          </w:tcPr>
          <w:p>
            <w:pPr>
              <w:spacing w:after="0" w:line="252"/>
              <w:jc w:val="left"/>
            </w:pPr>
            <w:r>
              <w:rPr>
                <w:rFonts w:ascii="Calibri" w:cs="Calibri" w:eastAsia="Calibri" w:hAnsi="Calibri"/>
                <w:b/>
                <w:bCs/>
                <w:color w:val="FFFFFF"/>
                <w:sz w:val="20"/>
                <w:szCs w:val="20"/>
              </w:rPr>
              <w:t xml:space="preserve">Condición</w:t>
            </w:r>
          </w:p>
        </w:tc>
        <w:tc>
          <w:tcPr>
            <w:tcW w:type="dxa" w:w="6460"/>
            <w:shd w:fill="14497E" w:color="auto" w:val="clear"/>
            <w:tcMar>
              <w:top w:type="dxa" w:w="90"/>
              <w:left w:type="dxa" w:w="130"/>
              <w:bottom w:type="dxa" w:w="90"/>
              <w:right w:type="dxa" w:w="130"/>
            </w:tcMar>
            <w:vAlign w:val="center"/>
          </w:tcPr>
          <w:p>
            <w:pPr>
              <w:spacing w:after="0" w:line="252"/>
              <w:jc w:val="left"/>
            </w:pPr>
            <w:r>
              <w:rPr>
                <w:rFonts w:ascii="Calibri" w:cs="Calibri" w:eastAsia="Calibri" w:hAnsi="Calibri"/>
                <w:b/>
                <w:bCs/>
                <w:color w:val="FFFFFF"/>
                <w:sz w:val="20"/>
                <w:szCs w:val="20"/>
              </w:rPr>
              <w:t xml:space="preserve">Detalle</w:t>
            </w:r>
          </w:p>
        </w:tc>
      </w:tr>
      <w:tr>
        <w:tc>
          <w:tcPr>
            <w:tcW w:type="dxa" w:w="2900"/>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Vigencia</w:t>
            </w:r>
          </w:p>
        </w:tc>
        <w:tc>
          <w:tcPr>
            <w:tcW w:type="dxa" w:w="6460"/>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Doce (12) meses contados desde la activación del servicio.</w:t>
            </w:r>
          </w:p>
        </w:tc>
      </w:tr>
      <w:tr>
        <w:tc>
          <w:tcPr>
            <w:tcW w:type="dxa" w:w="290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Renovación</w:t>
            </w:r>
          </w:p>
        </w:tc>
        <w:tc>
          <w:tcPr>
            <w:tcW w:type="dxa" w:w="646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Automática por períodos iguales de doce meses, salvo que cualquiera de las partes avise por escrito con sesenta (60) días de antelación al vencimiento.</w:t>
            </w:r>
          </w:p>
        </w:tc>
      </w:tr>
      <w:tr>
        <w:tc>
          <w:tcPr>
            <w:tcW w:type="dxa" w:w="2900"/>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Reajuste anual</w:t>
            </w:r>
          </w:p>
        </w:tc>
        <w:tc>
          <w:tcPr>
            <w:tcW w:type="dxa" w:w="6460"/>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El valor por usuario se ajusta en cada renovación según el IPC certificado por el DANE para el año calendario inmediatamente anterior. El reajuste nunca será negativo.</w:t>
            </w:r>
          </w:p>
        </w:tc>
      </w:tr>
      <w:tr>
        <w:tc>
          <w:tcPr>
            <w:tcW w:type="dxa" w:w="290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Naturaleza</w:t>
            </w:r>
          </w:p>
        </w:tc>
        <w:tc>
          <w:tcPr>
            <w:tcW w:type="dxa" w:w="646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Licencia de uso temporal y no exclusiva del software. No constituye cesión de derechos patrimoniales ni desarrollo por encargo.</w:t>
            </w:r>
          </w:p>
        </w:tc>
      </w:tr>
      <w:tr>
        <w:tc>
          <w:tcPr>
            <w:tcW w:type="dxa" w:w="2900"/>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Propiedad</w:t>
            </w:r>
          </w:p>
        </w:tc>
        <w:tc>
          <w:tcPr>
            <w:tcW w:type="dxa" w:w="6460"/>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El contenido que la cámara cargue es y seguirá siendo de la cámara. La plataforma, su código y su arquitectura son de ALQUIMIA.</w:t>
            </w:r>
          </w:p>
        </w:tc>
      </w:tr>
      <w:tr>
        <w:tc>
          <w:tcPr>
            <w:tcW w:type="dxa" w:w="290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Disponibilidad</w:t>
            </w:r>
          </w:p>
        </w:tc>
        <w:tc>
          <w:tcPr>
            <w:tcW w:type="dxa" w:w="646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99,5 % mensual, excluidas las ventanas de mantenimiento programado avisadas con 72 horas de anticipación.</w:t>
            </w:r>
          </w:p>
        </w:tc>
      </w:tr>
      <w:tr>
        <w:tc>
          <w:tcPr>
            <w:tcW w:type="dxa" w:w="2900"/>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Soporte</w:t>
            </w:r>
          </w:p>
        </w:tc>
        <w:tc>
          <w:tcPr>
            <w:tcW w:type="dxa" w:w="6460"/>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Por correo electrónico en días hábiles, de 8:00 a 18:00 (COT). Respuesta dentro del siguiente día hábil.</w:t>
            </w:r>
          </w:p>
        </w:tc>
      </w:tr>
      <w:tr>
        <w:tc>
          <w:tcPr>
            <w:tcW w:type="dxa" w:w="290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Datos al terminar</w:t>
            </w:r>
          </w:p>
        </w:tc>
        <w:tc>
          <w:tcPr>
            <w:tcW w:type="dxa" w:w="646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Si el contrato no se renueva, la cámara recibe la totalidad de la información de sus empresas en formato abierto dentro de los treinta (30) días siguientes, sin costo.</w:t>
            </w:r>
          </w:p>
        </w:tc>
      </w:tr>
      <w:tr>
        <w:tc>
          <w:tcPr>
            <w:tcW w:type="dxa" w:w="2900"/>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IVA</w:t>
            </w:r>
          </w:p>
        </w:tc>
        <w:tc>
          <w:tcPr>
            <w:tcW w:type="dxa" w:w="6460"/>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Todos los valores de esta propuesta se expresan antes del IVA del 19 %.</w:t>
            </w:r>
          </w:p>
        </w:tc>
      </w:tr>
    </w:tbl>
    <w:p>
      <w:pPr>
        <w:pStyle w:val="Heading1"/>
        <w:pBdr>
          <w:bottom w:val="single" w:color="BBD1E8" w:sz="10" w:space="6"/>
        </w:pBdr>
        <w:spacing w:after="170" w:before="380"/>
      </w:pPr>
      <w:r>
        <w:rPr>
          <w:rFonts w:ascii="Calibri" w:cs="Calibri" w:eastAsia="Calibri" w:hAnsi="Calibri"/>
          <w:b/>
          <w:bCs/>
          <w:color w:val="14497E"/>
          <w:sz w:val="30"/>
          <w:szCs w:val="30"/>
        </w:rPr>
        <w:t xml:space="preserve">8 · Protección de datos personales</w:t>
      </w:r>
    </w:p>
    <w:p>
      <w:pPr>
        <w:spacing w:after="140" w:before="0" w:line="276"/>
      </w:pPr>
      <w:r>
        <w:rPr>
          <w:rFonts w:ascii="Calibri" w:cs="Calibri" w:eastAsia="Calibri" w:hAnsi="Calibri"/>
          <w:color w:val="1A1A1A"/>
          <w:sz w:val="21"/>
          <w:szCs w:val="21"/>
        </w:rPr>
        <w:t xml:space="preserve">El programa recoge datos personales de los empresarios participantes, de modo que la relación queda sujeta a la Ley 1581 de 2012 y sus decretos reglamentarios.</w:t>
      </w:r>
    </w:p>
    <w:p>
      <w:pPr>
        <w:pStyle w:val="ListParagraph"/>
        <w:numPr>
          <w:ilvl w:val="0"/>
          <w:numId w:val="2"/>
        </w:numPr>
        <w:spacing w:after="70" w:line="264"/>
      </w:pPr>
      <w:r>
        <w:rPr>
          <w:rFonts w:ascii="Calibri" w:cs="Calibri" w:eastAsia="Calibri" w:hAnsi="Calibri"/>
          <w:b/>
          <w:bCs/>
          <w:color w:val="1A1A1A"/>
          <w:sz w:val="21"/>
          <w:szCs w:val="21"/>
        </w:rPr>
        <w:t xml:space="preserve">Roles. </w:t>
      </w:r>
      <w:r>
        <w:rPr>
          <w:rFonts w:ascii="Calibri" w:cs="Calibri" w:eastAsia="Calibri" w:hAnsi="Calibri"/>
          <w:color w:val="1A1A1A"/>
          <w:sz w:val="21"/>
          <w:szCs w:val="21"/>
        </w:rPr>
        <w:t xml:space="preserve">La cámara actúa como responsable del tratamiento y ALQUIMIA como encargado. El contrato de transmisión de datos se firma como anexo, antes de registrar al primer usuario.</w:t>
      </w:r>
    </w:p>
    <w:p>
      <w:pPr>
        <w:pStyle w:val="ListParagraph"/>
        <w:numPr>
          <w:ilvl w:val="0"/>
          <w:numId w:val="2"/>
        </w:numPr>
        <w:spacing w:after="70" w:line="264"/>
      </w:pPr>
      <w:r>
        <w:rPr>
          <w:rFonts w:ascii="Calibri" w:cs="Calibri" w:eastAsia="Calibri" w:hAnsi="Calibri"/>
          <w:b/>
          <w:bCs/>
          <w:color w:val="1A1A1A"/>
          <w:sz w:val="21"/>
          <w:szCs w:val="21"/>
        </w:rPr>
        <w:t xml:space="preserve">Transferencia internacional. </w:t>
      </w:r>
      <w:r>
        <w:rPr>
          <w:rFonts w:ascii="Calibri" w:cs="Calibri" w:eastAsia="Calibri" w:hAnsi="Calibri"/>
          <w:color w:val="1A1A1A"/>
          <w:sz w:val="21"/>
          <w:szCs w:val="21"/>
        </w:rPr>
        <w:t xml:space="preserve">La infraestructura está alojada en Estados Unidos. Como Colombia no reconoce a ese país con nivel adecuado de protección, la plataforma pide al titular una autorización expresa y separada para la transferencia, y guarda la constancia con fecha y versión de la política.</w:t>
      </w:r>
    </w:p>
    <w:p>
      <w:pPr>
        <w:pStyle w:val="ListParagraph"/>
        <w:numPr>
          <w:ilvl w:val="0"/>
          <w:numId w:val="2"/>
        </w:numPr>
        <w:spacing w:after="70" w:line="264"/>
      </w:pPr>
      <w:r>
        <w:rPr>
          <w:rFonts w:ascii="Calibri" w:cs="Calibri" w:eastAsia="Calibri" w:hAnsi="Calibri"/>
          <w:b/>
          <w:bCs/>
          <w:color w:val="1A1A1A"/>
          <w:sz w:val="21"/>
          <w:szCs w:val="21"/>
        </w:rPr>
        <w:t xml:space="preserve">Minimización. </w:t>
      </w:r>
      <w:r>
        <w:rPr>
          <w:rFonts w:ascii="Calibri" w:cs="Calibri" w:eastAsia="Calibri" w:hAnsi="Calibri"/>
          <w:color w:val="1A1A1A"/>
          <w:sz w:val="21"/>
          <w:szCs w:val="21"/>
        </w:rPr>
        <w:t xml:space="preserve">Se recogen únicamente nombre, cargo y correo. No se pide cédula, dirección ni dato sensible alguno.</w:t>
      </w:r>
    </w:p>
    <w:p>
      <w:pPr>
        <w:pStyle w:val="ListParagraph"/>
        <w:numPr>
          <w:ilvl w:val="0"/>
          <w:numId w:val="2"/>
        </w:numPr>
        <w:spacing w:after="70" w:line="264"/>
      </w:pPr>
      <w:r>
        <w:rPr>
          <w:rFonts w:ascii="Calibri" w:cs="Calibri" w:eastAsia="Calibri" w:hAnsi="Calibri"/>
          <w:b/>
          <w:bCs/>
          <w:color w:val="1A1A1A"/>
          <w:sz w:val="21"/>
          <w:szCs w:val="21"/>
        </w:rPr>
        <w:t xml:space="preserve">Derechos del titular. </w:t>
      </w:r>
      <w:r>
        <w:rPr>
          <w:rFonts w:ascii="Calibri" w:cs="Calibri" w:eastAsia="Calibri" w:hAnsi="Calibri"/>
          <w:color w:val="1A1A1A"/>
          <w:sz w:val="21"/>
          <w:szCs w:val="21"/>
        </w:rPr>
        <w:t xml:space="preserve">Cada participante puede consultar, actualizar y solicitar la supresión de sus datos desde la plataforma, dentro de los plazos de ley.</w:t>
      </w:r>
    </w:p>
    <w:p>
      <w:pPr>
        <w:pStyle w:val="ListParagraph"/>
        <w:numPr>
          <w:ilvl w:val="0"/>
          <w:numId w:val="2"/>
        </w:numPr>
        <w:spacing w:after="70" w:line="264"/>
      </w:pPr>
      <w:r>
        <w:rPr>
          <w:rFonts w:ascii="Calibri" w:cs="Calibri" w:eastAsia="Calibri" w:hAnsi="Calibri"/>
          <w:b/>
          <w:bCs/>
          <w:color w:val="1A1A1A"/>
          <w:sz w:val="21"/>
          <w:szCs w:val="21"/>
        </w:rPr>
        <w:t xml:space="preserve">Registro de acceso. </w:t>
      </w:r>
      <w:r>
        <w:rPr>
          <w:rFonts w:ascii="Calibri" w:cs="Calibri" w:eastAsia="Calibri" w:hAnsi="Calibri"/>
          <w:color w:val="1A1A1A"/>
          <w:sz w:val="21"/>
          <w:szCs w:val="21"/>
        </w:rPr>
        <w:t xml:space="preserve">Toda lectura de la bitácora de una empresa por parte de un tutor queda registrada y es auditable.</w:t>
      </w:r>
    </w:p>
    <w:p>
      <w:pPr>
        <w:pStyle w:val="Heading1"/>
        <w:pBdr>
          <w:bottom w:val="single" w:color="BBD1E8" w:sz="10" w:space="6"/>
        </w:pBdr>
        <w:spacing w:after="170" w:before="380"/>
      </w:pPr>
      <w:r>
        <w:rPr>
          <w:rFonts w:ascii="Calibri" w:cs="Calibri" w:eastAsia="Calibri" w:hAnsi="Calibri"/>
          <w:b/>
          <w:bCs/>
          <w:color w:val="14497E"/>
          <w:sz w:val="30"/>
          <w:szCs w:val="30"/>
        </w:rPr>
        <w:t xml:space="preserve">9 · Implementación</w:t>
      </w:r>
    </w:p>
    <w:p>
      <w:pPr>
        <w:spacing w:after="140" w:before="0" w:line="276"/>
      </w:pPr>
      <w:r>
        <w:rPr>
          <w:rFonts w:ascii="Calibri" w:cs="Calibri" w:eastAsia="Calibri" w:hAnsi="Calibri"/>
          <w:color w:val="1A1A1A"/>
          <w:sz w:val="21"/>
          <w:szCs w:val="21"/>
        </w:rPr>
        <w:t xml:space="preserve">Desde la firma hasta la primera sesión con empresarios transcurren entre cuatro y seis semanas, según el tamaño del programa.</w:t>
      </w:r>
    </w:p>
    <w:tbl>
      <w:tblPr>
        <w:tblW w:type="dxa" w:w="9360"/>
        <w:tblBorders>
          <w:top w:val="single" w:color="BBD1E8" w:sz="4"/>
          <w:left w:val="single" w:color="BBD1E8" w:sz="4"/>
          <w:bottom w:val="single" w:color="BBD1E8" w:sz="4"/>
          <w:right w:val="single" w:color="BBD1E8" w:sz="4"/>
          <w:insideH w:val="single" w:color="BBD1E8" w:sz="2"/>
          <w:insideV w:val="single" w:color="BBD1E8" w:sz="2"/>
        </w:tblBorders>
      </w:tblPr>
      <w:tblGrid>
        <w:gridCol w:w="1500"/>
        <w:gridCol w:w="4560"/>
        <w:gridCol w:w="3300"/>
      </w:tblGrid>
      <w:tr>
        <w:trPr>
          <w:tblHeader/>
        </w:trPr>
        <w:tc>
          <w:tcPr>
            <w:tcW w:type="dxa" w:w="1500"/>
            <w:shd w:fill="14497E" w:color="auto" w:val="clear"/>
            <w:tcMar>
              <w:top w:type="dxa" w:w="90"/>
              <w:left w:type="dxa" w:w="130"/>
              <w:bottom w:type="dxa" w:w="90"/>
              <w:right w:type="dxa" w:w="130"/>
            </w:tcMar>
            <w:vAlign w:val="center"/>
          </w:tcPr>
          <w:p>
            <w:pPr>
              <w:spacing w:after="0" w:line="252"/>
              <w:jc w:val="left"/>
            </w:pPr>
            <w:r>
              <w:rPr>
                <w:rFonts w:ascii="Calibri" w:cs="Calibri" w:eastAsia="Calibri" w:hAnsi="Calibri"/>
                <w:b/>
                <w:bCs/>
                <w:color w:val="FFFFFF"/>
                <w:sz w:val="20"/>
                <w:szCs w:val="20"/>
              </w:rPr>
              <w:t xml:space="preserve">Semana</w:t>
            </w:r>
          </w:p>
        </w:tc>
        <w:tc>
          <w:tcPr>
            <w:tcW w:type="dxa" w:w="4560"/>
            <w:shd w:fill="14497E" w:color="auto" w:val="clear"/>
            <w:tcMar>
              <w:top w:type="dxa" w:w="90"/>
              <w:left w:type="dxa" w:w="130"/>
              <w:bottom w:type="dxa" w:w="90"/>
              <w:right w:type="dxa" w:w="130"/>
            </w:tcMar>
            <w:vAlign w:val="center"/>
          </w:tcPr>
          <w:p>
            <w:pPr>
              <w:spacing w:after="0" w:line="252"/>
              <w:jc w:val="left"/>
            </w:pPr>
            <w:r>
              <w:rPr>
                <w:rFonts w:ascii="Calibri" w:cs="Calibri" w:eastAsia="Calibri" w:hAnsi="Calibri"/>
                <w:b/>
                <w:bCs/>
                <w:color w:val="FFFFFF"/>
                <w:sz w:val="20"/>
                <w:szCs w:val="20"/>
              </w:rPr>
              <w:t xml:space="preserve">Actividad</w:t>
            </w:r>
          </w:p>
        </w:tc>
        <w:tc>
          <w:tcPr>
            <w:tcW w:type="dxa" w:w="3300"/>
            <w:shd w:fill="14497E" w:color="auto" w:val="clear"/>
            <w:tcMar>
              <w:top w:type="dxa" w:w="90"/>
              <w:left w:type="dxa" w:w="130"/>
              <w:bottom w:type="dxa" w:w="90"/>
              <w:right w:type="dxa" w:w="130"/>
            </w:tcMar>
            <w:vAlign w:val="center"/>
          </w:tcPr>
          <w:p>
            <w:pPr>
              <w:spacing w:after="0" w:line="252"/>
              <w:jc w:val="left"/>
            </w:pPr>
            <w:r>
              <w:rPr>
                <w:rFonts w:ascii="Calibri" w:cs="Calibri" w:eastAsia="Calibri" w:hAnsi="Calibri"/>
                <w:b/>
                <w:bCs/>
                <w:color w:val="FFFFFF"/>
                <w:sz w:val="20"/>
                <w:szCs w:val="20"/>
              </w:rPr>
              <w:t xml:space="preserve">Responsable</w:t>
            </w:r>
          </w:p>
        </w:tc>
      </w:tr>
      <w:tr>
        <w:tc>
          <w:tcPr>
            <w:tcW w:type="dxa" w:w="1500"/>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1</w:t>
            </w:r>
          </w:p>
        </w:tc>
        <w:tc>
          <w:tcPr>
            <w:tcW w:type="dxa" w:w="4560"/>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Entrega del contenido del programa y de la identidad visual</w:t>
            </w:r>
          </w:p>
        </w:tc>
        <w:tc>
          <w:tcPr>
            <w:tcW w:type="dxa" w:w="3300"/>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Cámara</w:t>
            </w:r>
          </w:p>
        </w:tc>
      </w:tr>
      <w:tr>
        <w:tc>
          <w:tcPr>
            <w:tcW w:type="dxa" w:w="150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1 – 3</w:t>
            </w:r>
          </w:p>
        </w:tc>
        <w:tc>
          <w:tcPr>
            <w:tcW w:type="dxa" w:w="456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Conversión de los talleres y configuración de la marca</w:t>
            </w:r>
          </w:p>
        </w:tc>
        <w:tc>
          <w:tcPr>
            <w:tcW w:type="dxa" w:w="330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ALQUIMIA</w:t>
            </w:r>
          </w:p>
        </w:tc>
      </w:tr>
      <w:tr>
        <w:tc>
          <w:tcPr>
            <w:tcW w:type="dxa" w:w="1500"/>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3</w:t>
            </w:r>
          </w:p>
        </w:tc>
        <w:tc>
          <w:tcPr>
            <w:tcW w:type="dxa" w:w="4560"/>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Revisión y aprobación del contenido cargado</w:t>
            </w:r>
          </w:p>
        </w:tc>
        <w:tc>
          <w:tcPr>
            <w:tcW w:type="dxa" w:w="3300"/>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Cámara</w:t>
            </w:r>
          </w:p>
        </w:tc>
      </w:tr>
      <w:tr>
        <w:tc>
          <w:tcPr>
            <w:tcW w:type="dxa" w:w="150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4</w:t>
            </w:r>
          </w:p>
        </w:tc>
        <w:tc>
          <w:tcPr>
            <w:tcW w:type="dxa" w:w="456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Carga de la cohorte y envío de accesos a las empresas</w:t>
            </w:r>
          </w:p>
        </w:tc>
        <w:tc>
          <w:tcPr>
            <w:tcW w:type="dxa" w:w="330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Conjunta</w:t>
            </w:r>
          </w:p>
        </w:tc>
      </w:tr>
      <w:tr>
        <w:tc>
          <w:tcPr>
            <w:tcW w:type="dxa" w:w="1500"/>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4</w:t>
            </w:r>
          </w:p>
        </w:tc>
        <w:tc>
          <w:tcPr>
            <w:tcW w:type="dxa" w:w="4560"/>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Inducción en línea al equipo de tutores (2 horas)</w:t>
            </w:r>
          </w:p>
        </w:tc>
        <w:tc>
          <w:tcPr>
            <w:tcW w:type="dxa" w:w="3300"/>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ALQUIMIA</w:t>
            </w:r>
          </w:p>
        </w:tc>
      </w:tr>
      <w:tr>
        <w:tc>
          <w:tcPr>
            <w:tcW w:type="dxa" w:w="150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b w:val="function bold() { [native code] }"/>
                <w:bCs w:val="function bold() { [native code] }"/>
                <w:color w:val="1A1A1A"/>
                <w:sz w:val="20"/>
                <w:szCs w:val="20"/>
              </w:rPr>
              <w:t xml:space="preserve">5</w:t>
            </w:r>
          </w:p>
        </w:tc>
        <w:tc>
          <w:tcPr>
            <w:tcW w:type="dxa" w:w="456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Arranque con empresarios</w:t>
            </w:r>
          </w:p>
        </w:tc>
        <w:tc>
          <w:tcPr>
            <w:tcW w:type="dxa" w:w="330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Cámara</w:t>
            </w:r>
          </w:p>
        </w:tc>
      </w:tr>
    </w:tbl>
    <w:p>
      <w:pPr>
        <w:spacing w:after="40" w:before="0" w:line="276"/>
      </w:pPr>
      <w:r>
        <w:rPr>
          <w:rFonts w:ascii="Calibri" w:cs="Calibri" w:eastAsia="Calibri" w:hAnsi="Calibri"/>
          <w:color w:val="1A1A1A"/>
          <w:sz w:val="21"/>
          <w:szCs w:val="21"/>
        </w:rPr>
        <w:t xml:space="preserve"> </w:t>
      </w:r>
    </w:p>
    <w:p>
      <w:pPr>
        <w:pStyle w:val="Heading2"/>
        <w:spacing w:after="110" w:before="260"/>
      </w:pPr>
      <w:r>
        <w:rPr>
          <w:rFonts w:ascii="Calibri" w:cs="Calibri" w:eastAsia="Calibri" w:hAnsi="Calibri"/>
          <w:b/>
          <w:bCs/>
          <w:color w:val="1B6AB5"/>
          <w:sz w:val="24"/>
          <w:szCs w:val="24"/>
        </w:rPr>
        <w:t xml:space="preserve">Hoja de ruta del producto</w:t>
      </w:r>
    </w:p>
    <w:p>
      <w:pPr>
        <w:spacing w:after="140" w:before="0" w:line="276"/>
      </w:pPr>
      <w:r>
        <w:rPr>
          <w:rFonts w:ascii="Calibri" w:cs="Calibri" w:eastAsia="Calibri" w:hAnsi="Calibri"/>
          <w:color w:val="1A1A1A"/>
          <w:sz w:val="21"/>
          <w:szCs w:val="21"/>
        </w:rPr>
        <w:t xml:space="preserve">Estas mejoras se entregan a los clientes con contrato vigente sin costo adicional:</w:t>
      </w:r>
    </w:p>
    <w:p>
      <w:pPr>
        <w:pStyle w:val="ListParagraph"/>
        <w:numPr>
          <w:ilvl w:val="0"/>
          <w:numId w:val="2"/>
        </w:numPr>
        <w:spacing w:after="70" w:line="264"/>
      </w:pPr>
      <w:r>
        <w:rPr>
          <w:rFonts w:ascii="Calibri" w:cs="Calibri" w:eastAsia="Calibri" w:hAnsi="Calibri"/>
          <w:color w:val="1A1A1A"/>
          <w:sz w:val="21"/>
          <w:szCs w:val="21"/>
        </w:rPr>
        <w:t xml:space="preserve">Exportación de la cohorte completa a Excel, con una hoja por taller.</w:t>
      </w:r>
    </w:p>
    <w:p>
      <w:pPr>
        <w:pStyle w:val="ListParagraph"/>
        <w:numPr>
          <w:ilvl w:val="0"/>
          <w:numId w:val="2"/>
        </w:numPr>
        <w:spacing w:after="70" w:line="264"/>
      </w:pPr>
      <w:r>
        <w:rPr>
          <w:rFonts w:ascii="Calibri" w:cs="Calibri" w:eastAsia="Calibri" w:hAnsi="Calibri"/>
          <w:color w:val="1A1A1A"/>
          <w:sz w:val="21"/>
          <w:szCs w:val="21"/>
        </w:rPr>
        <w:t xml:space="preserve">Edición del contenido por parte del equipo de la cámara, sin intermediación de ALQUIMIA.</w:t>
      </w:r>
    </w:p>
    <w:p>
      <w:pPr>
        <w:pStyle w:val="ListParagraph"/>
        <w:numPr>
          <w:ilvl w:val="0"/>
          <w:numId w:val="2"/>
        </w:numPr>
        <w:spacing w:after="70" w:line="264"/>
      </w:pPr>
      <w:r>
        <w:rPr>
          <w:rFonts w:ascii="Calibri" w:cs="Calibri" w:eastAsia="Calibri" w:hAnsi="Calibri"/>
          <w:color w:val="1A1A1A"/>
          <w:sz w:val="21"/>
          <w:szCs w:val="21"/>
        </w:rPr>
        <w:t xml:space="preserve">Trabajo simultáneo en vivo: ver los cambios de un compañero sin recargar la página.</w:t>
      </w:r>
    </w:p>
    <w:p>
      <w:pPr>
        <w:pStyle w:val="ListParagraph"/>
        <w:numPr>
          <w:ilvl w:val="0"/>
          <w:numId w:val="2"/>
        </w:numPr>
        <w:spacing w:after="70" w:line="264"/>
      </w:pPr>
      <w:r>
        <w:rPr>
          <w:rFonts w:ascii="Calibri" w:cs="Calibri" w:eastAsia="Calibri" w:hAnsi="Calibri"/>
          <w:color w:val="1A1A1A"/>
          <w:sz w:val="21"/>
          <w:szCs w:val="21"/>
        </w:rPr>
        <w:t xml:space="preserve">Informe comparativo de cohorte para medir el impacto del programa.</w:t>
      </w:r>
    </w:p>
    <w:p>
      <w:pPr>
        <w:pStyle w:val="Heading1"/>
        <w:pBdr>
          <w:bottom w:val="single" w:color="BBD1E8" w:sz="10" w:space="6"/>
        </w:pBdr>
        <w:spacing w:after="170" w:before="380"/>
      </w:pPr>
      <w:r>
        <w:rPr>
          <w:rFonts w:ascii="Calibri" w:cs="Calibri" w:eastAsia="Calibri" w:hAnsi="Calibri"/>
          <w:b/>
          <w:bCs/>
          <w:color w:val="14497E"/>
          <w:sz w:val="30"/>
          <w:szCs w:val="30"/>
        </w:rPr>
        <w:t xml:space="preserve">10 · Siguiente paso</w:t>
      </w:r>
    </w:p>
    <w:p>
      <w:pPr>
        <w:spacing w:after="140" w:before="0" w:line="276"/>
      </w:pPr>
      <w:r>
        <w:rPr>
          <w:rFonts w:ascii="Calibri" w:cs="Calibri" w:eastAsia="Calibri" w:hAnsi="Calibri"/>
          <w:color w:val="1A1A1A"/>
          <w:sz w:val="21"/>
          <w:szCs w:val="21"/>
        </w:rPr>
        <w:t xml:space="preserve">Proponemos una demostración de cuarenta y cinco minutos con el equipo que opera el programa, sobre una cohorte de prueba cargada con contenido de su cámara. No tiene costo ni compromiso.</w:t>
      </w:r>
    </w:p>
    <w:p>
      <w:pPr>
        <w:spacing w:after="700" w:before="0" w:line="276"/>
      </w:pPr>
      <w:r>
        <w:rPr>
          <w:rFonts w:ascii="Calibri" w:cs="Calibri" w:eastAsia="Calibri" w:hAnsi="Calibri"/>
          <w:b/>
          <w:bCs/>
          <w:color w:val="1A1A1A"/>
          <w:sz w:val="21"/>
          <w:szCs w:val="21"/>
        </w:rPr>
        <w:t xml:space="preserve">Para agendarla: </w:t>
      </w:r>
      <w:r>
        <w:rPr>
          <w:rFonts w:ascii="Calibri" w:cs="Calibri" w:eastAsia="Calibri" w:hAnsi="Calibri"/>
          <w:color w:val="1A1A1A"/>
          <w:sz w:val="21"/>
          <w:szCs w:val="21"/>
        </w:rPr>
        <w:t xml:space="preserve">alquimia7.ia@gmail.com</w:t>
      </w:r>
    </w:p>
    <w:p>
      <w:pPr>
        <w:spacing w:after="400" w:before="0" w:line="276"/>
      </w:pPr>
      <w:r>
        <w:rPr>
          <w:rFonts w:ascii="Calibri" w:cs="Calibri" w:eastAsia="Calibri" w:hAnsi="Calibri"/>
          <w:b/>
          <w:bCs/>
          <w:color w:val="14497E"/>
          <w:sz w:val="24"/>
          <w:szCs w:val="24"/>
        </w:rPr>
        <w:t xml:space="preserve">Aceptación</w:t>
      </w:r>
    </w:p>
    <w:tbl>
      <w:tblPr>
        <w:tblW w:type="dxa" w:w="9360"/>
        <w:tblBorders>
          <w:top w:val="single" w:color="BBD1E8" w:sz="4"/>
          <w:left w:val="single" w:color="BBD1E8" w:sz="4"/>
          <w:bottom w:val="single" w:color="BBD1E8" w:sz="4"/>
          <w:right w:val="single" w:color="BBD1E8" w:sz="4"/>
          <w:insideH w:val="single" w:color="BBD1E8" w:sz="2"/>
          <w:insideV w:val="single" w:color="BBD1E8" w:sz="2"/>
        </w:tblBorders>
      </w:tblPr>
      <w:tblGrid>
        <w:gridCol w:w="4680"/>
        <w:gridCol w:w="4680"/>
      </w:tblGrid>
      <w:tr>
        <w:trPr>
          <w:tblHeader/>
        </w:trPr>
        <w:tc>
          <w:tcPr>
            <w:tcW w:type="dxa" w:w="4680"/>
            <w:shd w:fill="14497E" w:color="auto" w:val="clear"/>
            <w:tcMar>
              <w:top w:type="dxa" w:w="90"/>
              <w:left w:type="dxa" w:w="130"/>
              <w:bottom w:type="dxa" w:w="90"/>
              <w:right w:type="dxa" w:w="130"/>
            </w:tcMar>
            <w:vAlign w:val="center"/>
          </w:tcPr>
          <w:p>
            <w:pPr>
              <w:spacing w:after="0" w:line="252"/>
              <w:jc w:val="left"/>
            </w:pPr>
            <w:r>
              <w:rPr>
                <w:rFonts w:ascii="Calibri" w:cs="Calibri" w:eastAsia="Calibri" w:hAnsi="Calibri"/>
                <w:b/>
                <w:bCs/>
                <w:color w:val="FFFFFF"/>
                <w:sz w:val="20"/>
                <w:szCs w:val="20"/>
              </w:rPr>
              <w:t xml:space="preserve">Por ALQUIMIA</w:t>
            </w:r>
          </w:p>
        </w:tc>
        <w:tc>
          <w:tcPr>
            <w:tcW w:type="dxa" w:w="4680"/>
            <w:shd w:fill="14497E" w:color="auto" w:val="clear"/>
            <w:tcMar>
              <w:top w:type="dxa" w:w="90"/>
              <w:left w:type="dxa" w:w="130"/>
              <w:bottom w:type="dxa" w:w="90"/>
              <w:right w:type="dxa" w:w="130"/>
            </w:tcMar>
            <w:vAlign w:val="center"/>
          </w:tcPr>
          <w:p>
            <w:pPr>
              <w:spacing w:after="0" w:line="252"/>
              <w:jc w:val="left"/>
            </w:pPr>
            <w:r>
              <w:rPr>
                <w:rFonts w:ascii="Calibri" w:cs="Calibri" w:eastAsia="Calibri" w:hAnsi="Calibri"/>
                <w:b/>
                <w:bCs/>
                <w:color w:val="FFFFFF"/>
                <w:sz w:val="20"/>
                <w:szCs w:val="20"/>
              </w:rPr>
              <w:t xml:space="preserve">Por [NOMBRE DE LA CÁMARA]</w:t>
            </w:r>
          </w:p>
        </w:tc>
      </w:tr>
      <w:tr>
        <w:tc>
          <w:tcPr>
            <w:tcW w:type="dxa" w:w="4680"/>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 </w:t>
            </w:r>
          </w:p>
        </w:tc>
        <w:tc>
          <w:tcPr>
            <w:tcW w:type="dxa" w:w="4680"/>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 </w:t>
            </w:r>
          </w:p>
        </w:tc>
      </w:tr>
      <w:tr>
        <w:tc>
          <w:tcPr>
            <w:tcW w:type="dxa" w:w="468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 </w:t>
            </w:r>
          </w:p>
        </w:tc>
        <w:tc>
          <w:tcPr>
            <w:tcW w:type="dxa" w:w="468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 </w:t>
            </w:r>
          </w:p>
        </w:tc>
      </w:tr>
      <w:tr>
        <w:tc>
          <w:tcPr>
            <w:tcW w:type="dxa" w:w="4680"/>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Nombre:</w:t>
            </w:r>
          </w:p>
        </w:tc>
        <w:tc>
          <w:tcPr>
            <w:tcW w:type="dxa" w:w="4680"/>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Nombre:</w:t>
            </w:r>
          </w:p>
        </w:tc>
      </w:tr>
      <w:tr>
        <w:tc>
          <w:tcPr>
            <w:tcW w:type="dxa" w:w="468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Cargo:</w:t>
            </w:r>
          </w:p>
        </w:tc>
        <w:tc>
          <w:tcPr>
            <w:tcW w:type="dxa" w:w="4680"/>
            <w:shd w:fill="F7FAFD" w:color="auto" w:val="clear"/>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Cargo:</w:t>
            </w:r>
          </w:p>
        </w:tc>
      </w:tr>
      <w:tr>
        <w:tc>
          <w:tcPr>
            <w:tcW w:type="dxa" w:w="4680"/>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Fecha:</w:t>
            </w:r>
          </w:p>
        </w:tc>
        <w:tc>
          <w:tcPr>
            <w:tcW w:type="dxa" w:w="4680"/>
            <w:tcMar>
              <w:top w:type="dxa" w:w="90"/>
              <w:left w:type="dxa" w:w="130"/>
              <w:bottom w:type="dxa" w:w="90"/>
              <w:right w:type="dxa" w:w="130"/>
            </w:tcMar>
            <w:vAlign w:val="center"/>
          </w:tcPr>
          <w:p>
            <w:pPr>
              <w:spacing w:after="0" w:line="252"/>
              <w:jc w:val="left"/>
            </w:pPr>
            <w:r>
              <w:rPr>
                <w:rFonts w:ascii="Calibri" w:cs="Calibri" w:eastAsia="Calibri" w:hAnsi="Calibri"/>
                <w:color w:val="1A1A1A"/>
                <w:sz w:val="20"/>
                <w:szCs w:val="20"/>
              </w:rPr>
              <w:t xml:space="preserve">Fecha:</w:t>
            </w:r>
          </w:p>
        </w:tc>
      </w:tr>
    </w:tbl>
    <w:sectPr>
      <w:footerReference w:type="default" r:id="rId7"/>
      <w:pgSz w:w="12240" w:h="15840" w:orient="portrait"/>
      <w:pgMar w:top="1440" w:right="1440" w:bottom="1440" w:left="1440" w:header="72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D1E8" w:sz="4" w:space="8"/>
      </w:pBdr>
      <w:jc w:val="center"/>
    </w:pPr>
    <w:r>
      <w:rPr>
        <w:rFonts w:ascii="Calibri" w:cs="Calibri" w:eastAsia="Calibri" w:hAnsi="Calibri"/>
        <w:color w:val="5A6470"/>
        <w:sz w:val="16"/>
        <w:szCs w:val="16"/>
      </w:rPr>
      <w:t xml:space="preserve">ALQUIMIA · Brújula empresarial · Propuesta comercial confidencial · </w:t>
    </w:r>
    <w:r>
      <w:rPr>
        <w:rFonts w:ascii="Calibri" w:cs="Calibri" w:eastAsia="Calibri" w:hAnsi="Calibri"/>
        <w:color w:val="5A6470"/>
        <w:sz w:val="16"/>
        <w:szCs w:val="16"/>
      </w:rPr>
      <w:fldChar w:fldCharType="begin"/>
      <w:instrText xml:space="preserve">PAGE</w:instrText>
      <w:fldChar w:fldCharType="separate"/>
      <w:fldChar w:fldCharType="end"/>
    </w:r>
    <w:r>
      <w:rPr>
        <w:rFonts w:ascii="Calibri" w:cs="Calibri" w:eastAsia="Calibri" w:hAnsi="Calibri"/>
        <w:color w:val="5A6470"/>
        <w:sz w:val="16"/>
        <w:szCs w:val="16"/>
      </w:rPr>
      <w:t xml:space="preserve"> de </w:t>
    </w:r>
    <w:r>
      <w:rPr>
        <w:rFonts w:ascii="Calibri" w:cs="Calibri" w:eastAsia="Calibri" w:hAnsi="Calibri"/>
        <w:color w:val="5A64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Calibri" w:cs="Calibri" w:eastAsia="Calibri" w:hAnsi="Calibri"/>
        <w:color w:val="1B6AB5"/>
      </w:rPr>
    </w:lvl>
  </w:abstractNum>
  <w:abstractNum w:abstractNumId="3" w15:restartNumberingAfterBreak="0">
    <w:multiLevelType w:val="hybridMultilevel"/>
    <w:lvl w:ilvl="0" w15:tentative="1">
      <w:start w:val="1"/>
      <w:numFmt w:val="decimal"/>
      <w:lvlText w:val="%1."/>
      <w:lvlJc w:val="left"/>
      <w:pPr>
        <w:ind w:left="400" w:hanging="260"/>
      </w:pPr>
      <w:rPr>
        <w:rFonts w:ascii="Calibri" w:cs="Calibri" w:eastAsia="Calibri" w:hAnsi="Calibri"/>
        <w:b/>
        <w:bCs/>
        <w:color w:val="14497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Brújula empresarial · Propuesta comercial</dc:title>
  <dc:creator>ALQUIMIA</dc:creator>
  <dc:description>Propuesta de licenciamiento de la plataforma Brújula empresarial para cámaras de comercio</dc:description>
  <cp:lastModifiedBy>Un-named</cp:lastModifiedBy>
  <cp:revision>1</cp:revision>
  <dcterms:created xsi:type="dcterms:W3CDTF">2026-09-17T20:14:20.545Z</dcterms:created>
  <dcterms:modified xsi:type="dcterms:W3CDTF">2026-09-17T20:14:20.546Z</dcterms:modified>
</cp:coreProperties>
</file>

<file path=docProps/custom.xml><?xml version="1.0" encoding="utf-8"?>
<Properties xmlns="http://schemas.openxmlformats.org/officeDocument/2006/custom-properties" xmlns:vt="http://schemas.openxmlformats.org/officeDocument/2006/docPropsVTypes"/>
</file>